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37" w:rsidRDefault="007876FC" w:rsidP="006B1137">
      <w:pPr>
        <w:jc w:val="right"/>
        <w:rPr>
          <w:rFonts w:cs="Arial"/>
          <w:lang w:val="de-DE"/>
        </w:rPr>
      </w:pPr>
      <w:r>
        <w:rPr>
          <w:rFonts w:cs="Arial"/>
          <w:noProof/>
          <w:lang w:val="de-DE" w:eastAsia="de-DE" w:bidi="ar-SA"/>
        </w:rPr>
        <w:drawing>
          <wp:inline distT="0" distB="0" distL="0" distR="0" wp14:anchorId="69EA7F90" wp14:editId="642C9F03">
            <wp:extent cx="1542067" cy="5334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s_Logo_Far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43" cy="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5D" w:rsidRPr="00DE5B3F" w:rsidRDefault="00CA6D5D" w:rsidP="007876FC">
      <w:pPr>
        <w:ind w:left="7080" w:firstLine="708"/>
        <w:rPr>
          <w:b/>
          <w:lang w:val="de-DE"/>
        </w:rPr>
      </w:pPr>
      <w:r w:rsidRPr="00DE5B3F">
        <w:rPr>
          <w:b/>
          <w:lang w:val="de-DE"/>
        </w:rPr>
        <w:tab/>
      </w:r>
    </w:p>
    <w:p w:rsidR="00DA7FAC" w:rsidRPr="00EC0E53" w:rsidRDefault="00DA7FAC" w:rsidP="00DA7FAC">
      <w:pPr>
        <w:rPr>
          <w:rFonts w:asciiTheme="majorHAnsi" w:hAnsiTheme="majorHAnsi" w:cstheme="majorHAnsi"/>
          <w:b/>
          <w:sz w:val="32"/>
          <w:szCs w:val="32"/>
          <w:lang w:val="de-DE"/>
        </w:rPr>
      </w:pPr>
      <w:r w:rsidRPr="00EC0E53">
        <w:rPr>
          <w:rFonts w:asciiTheme="majorHAnsi" w:hAnsiTheme="majorHAnsi" w:cstheme="majorHAnsi"/>
          <w:b/>
          <w:sz w:val="32"/>
          <w:szCs w:val="32"/>
          <w:lang w:val="de-DE"/>
        </w:rPr>
        <w:t>PRESSEMITTEILUNG</w:t>
      </w:r>
    </w:p>
    <w:p w:rsidR="00933C5B" w:rsidRDefault="00B80929" w:rsidP="00B80929">
      <w:pPr>
        <w:tabs>
          <w:tab w:val="left" w:pos="1240"/>
        </w:tabs>
        <w:rPr>
          <w:rFonts w:asciiTheme="majorHAnsi" w:hAnsiTheme="majorHAnsi" w:cstheme="majorHAnsi"/>
          <w:b/>
          <w:sz w:val="36"/>
          <w:szCs w:val="36"/>
          <w:lang w:val="de-DE"/>
        </w:rPr>
      </w:pPr>
      <w:r>
        <w:rPr>
          <w:rFonts w:asciiTheme="majorHAnsi" w:hAnsiTheme="majorHAnsi" w:cstheme="majorHAnsi"/>
          <w:b/>
          <w:sz w:val="36"/>
          <w:szCs w:val="36"/>
          <w:lang w:val="de-DE"/>
        </w:rPr>
        <w:tab/>
      </w:r>
    </w:p>
    <w:p w:rsidR="00EA7A07" w:rsidRPr="00564C5E" w:rsidRDefault="00564C5E" w:rsidP="005713FC">
      <w:pPr>
        <w:rPr>
          <w:rFonts w:asciiTheme="majorHAnsi" w:hAnsiTheme="majorHAnsi" w:cstheme="majorHAnsi"/>
          <w:b/>
          <w:sz w:val="36"/>
          <w:szCs w:val="36"/>
          <w:lang w:val="de-DE"/>
        </w:rPr>
      </w:pPr>
      <w:r w:rsidRPr="00564C5E">
        <w:rPr>
          <w:rFonts w:asciiTheme="majorHAnsi" w:hAnsiTheme="majorHAnsi" w:cstheme="majorHAnsi"/>
          <w:b/>
          <w:sz w:val="36"/>
          <w:szCs w:val="36"/>
          <w:lang w:val="de-DE"/>
        </w:rPr>
        <w:t xml:space="preserve">Neue </w:t>
      </w:r>
      <w:r w:rsidR="0048540F">
        <w:rPr>
          <w:rFonts w:asciiTheme="majorHAnsi" w:hAnsiTheme="majorHAnsi" w:cstheme="majorHAnsi"/>
          <w:b/>
          <w:sz w:val="36"/>
          <w:szCs w:val="36"/>
          <w:lang w:val="de-DE"/>
        </w:rPr>
        <w:t>G</w:t>
      </w:r>
      <w:r w:rsidR="0048540F" w:rsidRPr="00564C5E">
        <w:rPr>
          <w:rFonts w:asciiTheme="majorHAnsi" w:hAnsiTheme="majorHAnsi" w:cstheme="majorHAnsi"/>
          <w:b/>
          <w:sz w:val="36"/>
          <w:szCs w:val="36"/>
          <w:lang w:val="de-DE"/>
        </w:rPr>
        <w:t xml:space="preserve">rundierung </w:t>
      </w:r>
      <w:r w:rsidRPr="00564C5E">
        <w:rPr>
          <w:rFonts w:asciiTheme="majorHAnsi" w:hAnsiTheme="majorHAnsi" w:cstheme="majorHAnsi"/>
          <w:b/>
          <w:sz w:val="36"/>
          <w:szCs w:val="36"/>
          <w:lang w:val="de-DE"/>
        </w:rPr>
        <w:t>schließt Anwendungslücke</w:t>
      </w:r>
    </w:p>
    <w:p w:rsidR="00B51006" w:rsidRPr="00087F25" w:rsidRDefault="00087F25" w:rsidP="005713FC">
      <w:pPr>
        <w:rPr>
          <w:rFonts w:asciiTheme="majorHAnsi" w:hAnsiTheme="majorHAnsi" w:cstheme="majorHAnsi"/>
          <w:b/>
          <w:lang w:val="de-DE"/>
        </w:rPr>
      </w:pPr>
      <w:r w:rsidRPr="00087F25">
        <w:rPr>
          <w:rFonts w:asciiTheme="majorHAnsi" w:hAnsiTheme="majorHAnsi" w:cstheme="majorHAnsi"/>
          <w:b/>
          <w:lang w:val="de-DE"/>
        </w:rPr>
        <w:t xml:space="preserve">weber.prim 804 </w:t>
      </w:r>
      <w:r w:rsidR="00564C5E">
        <w:rPr>
          <w:rFonts w:asciiTheme="majorHAnsi" w:hAnsiTheme="majorHAnsi" w:cstheme="majorHAnsi"/>
          <w:b/>
          <w:lang w:val="de-DE"/>
        </w:rPr>
        <w:t xml:space="preserve">punktet </w:t>
      </w:r>
      <w:r w:rsidR="00802CD2">
        <w:rPr>
          <w:rFonts w:asciiTheme="majorHAnsi" w:hAnsiTheme="majorHAnsi" w:cstheme="majorHAnsi"/>
          <w:b/>
          <w:lang w:val="de-DE"/>
        </w:rPr>
        <w:t xml:space="preserve">mit </w:t>
      </w:r>
      <w:r w:rsidR="00564C5E">
        <w:rPr>
          <w:rFonts w:asciiTheme="majorHAnsi" w:hAnsiTheme="majorHAnsi" w:cstheme="majorHAnsi"/>
          <w:b/>
          <w:lang w:val="de-DE"/>
        </w:rPr>
        <w:t>kurzer Trocknungszeit</w:t>
      </w:r>
      <w:r w:rsidR="004624CE">
        <w:rPr>
          <w:rFonts w:asciiTheme="majorHAnsi" w:hAnsiTheme="majorHAnsi" w:cstheme="majorHAnsi"/>
          <w:b/>
          <w:lang w:val="de-DE"/>
        </w:rPr>
        <w:t xml:space="preserve"> und hohem Feuchteschutz</w:t>
      </w:r>
      <w:r w:rsidR="005B6248">
        <w:rPr>
          <w:rFonts w:asciiTheme="majorHAnsi" w:hAnsiTheme="majorHAnsi" w:cstheme="majorHAnsi"/>
          <w:b/>
          <w:lang w:val="de-DE"/>
        </w:rPr>
        <w:t xml:space="preserve"> </w:t>
      </w:r>
      <w:r w:rsidR="006C48D0" w:rsidRPr="00087F25">
        <w:rPr>
          <w:rFonts w:asciiTheme="majorHAnsi" w:hAnsiTheme="majorHAnsi" w:cstheme="majorHAnsi"/>
          <w:b/>
          <w:lang w:val="de-DE"/>
        </w:rPr>
        <w:t>/</w:t>
      </w:r>
      <w:r w:rsidR="006C48D0" w:rsidRPr="00E15223">
        <w:rPr>
          <w:rFonts w:asciiTheme="majorHAnsi" w:hAnsiTheme="majorHAnsi" w:cstheme="majorHAnsi"/>
          <w:b/>
          <w:color w:val="FF0000"/>
          <w:lang w:val="de-DE"/>
        </w:rPr>
        <w:t xml:space="preserve"> </w:t>
      </w:r>
      <w:r w:rsidRPr="00087F25">
        <w:rPr>
          <w:rFonts w:asciiTheme="majorHAnsi" w:hAnsiTheme="majorHAnsi" w:cstheme="majorHAnsi"/>
          <w:b/>
          <w:lang w:val="de-DE"/>
        </w:rPr>
        <w:t xml:space="preserve">Optimal für die Verlegung von großformatigen Fliesen auf </w:t>
      </w:r>
      <w:proofErr w:type="spellStart"/>
      <w:r w:rsidRPr="00087F25">
        <w:rPr>
          <w:rFonts w:asciiTheme="majorHAnsi" w:hAnsiTheme="majorHAnsi" w:cstheme="majorHAnsi"/>
          <w:b/>
          <w:lang w:val="de-DE"/>
        </w:rPr>
        <w:t>Calciumsulfatestrichen</w:t>
      </w:r>
      <w:proofErr w:type="spellEnd"/>
    </w:p>
    <w:p w:rsidR="006C48D0" w:rsidRPr="00EC0E53" w:rsidRDefault="006C48D0" w:rsidP="005713FC">
      <w:pPr>
        <w:rPr>
          <w:rFonts w:asciiTheme="majorHAnsi" w:hAnsiTheme="majorHAnsi" w:cstheme="majorHAnsi"/>
          <w:b/>
          <w:u w:val="single"/>
          <w:lang w:val="de-DE"/>
        </w:rPr>
      </w:pPr>
    </w:p>
    <w:p w:rsidR="003A3851" w:rsidRDefault="00347C2D" w:rsidP="00953327">
      <w:pPr>
        <w:rPr>
          <w:rFonts w:asciiTheme="majorHAnsi" w:hAnsiTheme="majorHAnsi" w:cstheme="majorHAnsi"/>
          <w:lang w:val="de-DE"/>
        </w:rPr>
      </w:pPr>
      <w:r w:rsidRPr="00EC0E53">
        <w:rPr>
          <w:rFonts w:asciiTheme="majorHAnsi" w:hAnsiTheme="majorHAnsi" w:cstheme="majorHAnsi"/>
          <w:u w:val="single"/>
          <w:lang w:val="de-DE"/>
        </w:rPr>
        <w:t>Düsseldorf</w:t>
      </w:r>
      <w:r w:rsidR="007A2A07" w:rsidRPr="00EC0E53">
        <w:rPr>
          <w:rFonts w:asciiTheme="majorHAnsi" w:hAnsiTheme="majorHAnsi" w:cstheme="majorHAnsi"/>
          <w:lang w:val="de-DE"/>
        </w:rPr>
        <w:t xml:space="preserve"> </w:t>
      </w:r>
      <w:r w:rsidRPr="00EC0E53">
        <w:rPr>
          <w:rFonts w:asciiTheme="majorHAnsi" w:hAnsiTheme="majorHAnsi" w:cstheme="majorHAnsi"/>
          <w:lang w:val="de-DE"/>
        </w:rPr>
        <w:t>–</w:t>
      </w:r>
      <w:r w:rsidR="00C435B9" w:rsidRPr="00EC0E53">
        <w:rPr>
          <w:rFonts w:asciiTheme="majorHAnsi" w:hAnsiTheme="majorHAnsi" w:cstheme="majorHAnsi"/>
          <w:lang w:val="de-DE"/>
        </w:rPr>
        <w:t xml:space="preserve"> </w:t>
      </w:r>
      <w:r w:rsidR="00A44659">
        <w:rPr>
          <w:rFonts w:asciiTheme="majorHAnsi" w:hAnsiTheme="majorHAnsi" w:cstheme="majorHAnsi"/>
          <w:lang w:val="de-DE"/>
        </w:rPr>
        <w:t xml:space="preserve">Der Baustoffhersteller Saint-Gobain Weber </w:t>
      </w:r>
      <w:r w:rsidR="006A4943">
        <w:rPr>
          <w:rFonts w:asciiTheme="majorHAnsi" w:hAnsiTheme="majorHAnsi" w:cstheme="majorHAnsi"/>
          <w:lang w:val="de-DE"/>
        </w:rPr>
        <w:t xml:space="preserve">hat mit </w:t>
      </w:r>
      <w:proofErr w:type="spellStart"/>
      <w:r w:rsidR="006A4943">
        <w:rPr>
          <w:rFonts w:asciiTheme="majorHAnsi" w:hAnsiTheme="majorHAnsi" w:cstheme="majorHAnsi"/>
          <w:lang w:val="de-DE"/>
        </w:rPr>
        <w:t>weber.prim</w:t>
      </w:r>
      <w:proofErr w:type="spellEnd"/>
      <w:r w:rsidR="006A4943">
        <w:rPr>
          <w:rFonts w:asciiTheme="majorHAnsi" w:hAnsiTheme="majorHAnsi" w:cstheme="majorHAnsi"/>
          <w:lang w:val="de-DE"/>
        </w:rPr>
        <w:t xml:space="preserve"> 804 eine neue</w:t>
      </w:r>
      <w:r w:rsidR="00084A89">
        <w:rPr>
          <w:rFonts w:asciiTheme="majorHAnsi" w:hAnsiTheme="majorHAnsi" w:cstheme="majorHAnsi"/>
          <w:lang w:val="de-DE"/>
        </w:rPr>
        <w:t xml:space="preserve">, schnelle </w:t>
      </w:r>
      <w:r w:rsidR="006A4943">
        <w:rPr>
          <w:rFonts w:asciiTheme="majorHAnsi" w:hAnsiTheme="majorHAnsi" w:cstheme="majorHAnsi"/>
          <w:lang w:val="de-DE"/>
        </w:rPr>
        <w:t xml:space="preserve"> Multifunktions-Grundierung auf den Markt gebracht. </w:t>
      </w:r>
      <w:r w:rsidR="00EE6434">
        <w:rPr>
          <w:rFonts w:asciiTheme="majorHAnsi" w:hAnsiTheme="majorHAnsi" w:cstheme="majorHAnsi"/>
          <w:lang w:val="de-DE"/>
        </w:rPr>
        <w:t>Mit dem</w:t>
      </w:r>
      <w:r w:rsidR="004410A5">
        <w:rPr>
          <w:rFonts w:asciiTheme="majorHAnsi" w:hAnsiTheme="majorHAnsi" w:cstheme="majorHAnsi"/>
          <w:lang w:val="de-DE"/>
        </w:rPr>
        <w:t xml:space="preserve"> gebr</w:t>
      </w:r>
      <w:r w:rsidR="004624CE">
        <w:rPr>
          <w:rFonts w:asciiTheme="majorHAnsi" w:hAnsiTheme="majorHAnsi" w:cstheme="majorHAnsi"/>
          <w:lang w:val="de-DE"/>
        </w:rPr>
        <w:t>auchsfertigen, 1-</w:t>
      </w:r>
      <w:r w:rsidR="005F1AA5">
        <w:rPr>
          <w:rFonts w:asciiTheme="majorHAnsi" w:hAnsiTheme="majorHAnsi" w:cstheme="majorHAnsi"/>
          <w:lang w:val="de-DE"/>
        </w:rPr>
        <w:t>kompon</w:t>
      </w:r>
      <w:r w:rsidR="00EE6434">
        <w:rPr>
          <w:rFonts w:asciiTheme="majorHAnsi" w:hAnsiTheme="majorHAnsi" w:cstheme="majorHAnsi"/>
          <w:lang w:val="de-DE"/>
        </w:rPr>
        <w:t xml:space="preserve">entigen Produkt </w:t>
      </w:r>
      <w:r w:rsidR="007F488C">
        <w:rPr>
          <w:rFonts w:asciiTheme="majorHAnsi" w:hAnsiTheme="majorHAnsi" w:cstheme="majorHAnsi"/>
          <w:lang w:val="de-DE"/>
        </w:rPr>
        <w:t xml:space="preserve">bietet </w:t>
      </w:r>
      <w:r w:rsidR="005F1364" w:rsidRPr="008A15ED">
        <w:rPr>
          <w:rFonts w:asciiTheme="majorHAnsi" w:hAnsiTheme="majorHAnsi" w:cstheme="majorHAnsi"/>
          <w:lang w:val="de-DE"/>
        </w:rPr>
        <w:t xml:space="preserve">das Unternehmen </w:t>
      </w:r>
      <w:r w:rsidR="007F488C">
        <w:rPr>
          <w:rFonts w:asciiTheme="majorHAnsi" w:hAnsiTheme="majorHAnsi" w:cstheme="majorHAnsi"/>
          <w:lang w:val="de-DE"/>
        </w:rPr>
        <w:t xml:space="preserve">eine universelle Grundierung für nahezu alle Untergründe und schließt </w:t>
      </w:r>
      <w:r w:rsidR="004066C0">
        <w:rPr>
          <w:rFonts w:asciiTheme="majorHAnsi" w:hAnsiTheme="majorHAnsi" w:cstheme="majorHAnsi"/>
          <w:lang w:val="de-DE"/>
        </w:rPr>
        <w:t xml:space="preserve">zudem </w:t>
      </w:r>
      <w:r w:rsidR="005F1AA5">
        <w:rPr>
          <w:rFonts w:asciiTheme="majorHAnsi" w:hAnsiTheme="majorHAnsi" w:cstheme="majorHAnsi"/>
          <w:lang w:val="de-DE"/>
        </w:rPr>
        <w:t>eine Anwendungslücke zwischen</w:t>
      </w:r>
      <w:r w:rsidR="004410A5" w:rsidRPr="008A15ED">
        <w:rPr>
          <w:rFonts w:asciiTheme="majorHAnsi" w:hAnsiTheme="majorHAnsi" w:cstheme="majorHAnsi"/>
          <w:lang w:val="de-DE"/>
        </w:rPr>
        <w:t xml:space="preserve"> </w:t>
      </w:r>
      <w:r w:rsidR="003A3851" w:rsidRPr="008A15ED">
        <w:rPr>
          <w:rFonts w:asciiTheme="majorHAnsi" w:hAnsiTheme="majorHAnsi" w:cstheme="majorHAnsi"/>
          <w:lang w:val="de-DE"/>
        </w:rPr>
        <w:t>Standard- und Epoxidharz</w:t>
      </w:r>
      <w:r w:rsidR="005F1364" w:rsidRPr="008A15ED">
        <w:rPr>
          <w:rFonts w:asciiTheme="majorHAnsi" w:hAnsiTheme="majorHAnsi" w:cstheme="majorHAnsi"/>
          <w:lang w:val="de-DE"/>
        </w:rPr>
        <w:t>gru</w:t>
      </w:r>
      <w:r w:rsidR="00EE6434">
        <w:rPr>
          <w:rFonts w:asciiTheme="majorHAnsi" w:hAnsiTheme="majorHAnsi" w:cstheme="majorHAnsi"/>
          <w:lang w:val="de-DE"/>
        </w:rPr>
        <w:t>ndier</w:t>
      </w:r>
      <w:r w:rsidR="005B6248">
        <w:rPr>
          <w:rFonts w:asciiTheme="majorHAnsi" w:hAnsiTheme="majorHAnsi" w:cstheme="majorHAnsi"/>
          <w:lang w:val="de-DE"/>
        </w:rPr>
        <w:t xml:space="preserve">ungen </w:t>
      </w:r>
      <w:r w:rsidR="004624CE">
        <w:rPr>
          <w:rFonts w:asciiTheme="majorHAnsi" w:hAnsiTheme="majorHAnsi" w:cstheme="majorHAnsi"/>
          <w:lang w:val="de-DE"/>
        </w:rPr>
        <w:t xml:space="preserve">bei der Verlegung von großformatigen Fliesen auf feuchtigkeitsempfindlichen </w:t>
      </w:r>
      <w:r w:rsidR="00084A89">
        <w:rPr>
          <w:rFonts w:asciiTheme="majorHAnsi" w:hAnsiTheme="majorHAnsi" w:cstheme="majorHAnsi"/>
          <w:lang w:val="de-DE"/>
        </w:rPr>
        <w:t xml:space="preserve">Untergründen, wie zum Beispiel </w:t>
      </w:r>
      <w:proofErr w:type="spellStart"/>
      <w:r w:rsidR="004624CE">
        <w:rPr>
          <w:rFonts w:asciiTheme="majorHAnsi" w:hAnsiTheme="majorHAnsi" w:cstheme="majorHAnsi"/>
          <w:lang w:val="de-DE"/>
        </w:rPr>
        <w:t>Calciumsulfatestrichen</w:t>
      </w:r>
      <w:proofErr w:type="spellEnd"/>
      <w:r w:rsidR="005B6248">
        <w:rPr>
          <w:rFonts w:asciiTheme="majorHAnsi" w:hAnsiTheme="majorHAnsi" w:cstheme="majorHAnsi"/>
          <w:lang w:val="de-DE"/>
        </w:rPr>
        <w:t xml:space="preserve">. </w:t>
      </w:r>
    </w:p>
    <w:p w:rsidR="00EE6434" w:rsidRDefault="00EE6434" w:rsidP="00953327">
      <w:pPr>
        <w:rPr>
          <w:rFonts w:asciiTheme="majorHAnsi" w:hAnsiTheme="majorHAnsi" w:cstheme="majorHAnsi"/>
          <w:lang w:val="de-DE"/>
        </w:rPr>
      </w:pPr>
    </w:p>
    <w:p w:rsidR="0034168A" w:rsidRPr="0034168A" w:rsidRDefault="0011287B" w:rsidP="00953327">
      <w:pPr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>Universell, einfach und sicher</w:t>
      </w:r>
    </w:p>
    <w:p w:rsidR="00637576" w:rsidRDefault="007226DF" w:rsidP="00953327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Bisher </w:t>
      </w:r>
      <w:r w:rsidR="004624CE">
        <w:rPr>
          <w:rFonts w:asciiTheme="majorHAnsi" w:hAnsiTheme="majorHAnsi" w:cstheme="majorHAnsi"/>
          <w:lang w:val="de-DE"/>
        </w:rPr>
        <w:t>hatten Fliesenleger bei der Untergrundvorbehandlung</w:t>
      </w:r>
      <w:r w:rsidR="00564C5E">
        <w:rPr>
          <w:rFonts w:asciiTheme="majorHAnsi" w:hAnsiTheme="majorHAnsi" w:cstheme="majorHAnsi"/>
          <w:lang w:val="de-DE"/>
        </w:rPr>
        <w:t xml:space="preserve"> </w:t>
      </w:r>
      <w:r w:rsidR="004624CE">
        <w:rPr>
          <w:rFonts w:asciiTheme="majorHAnsi" w:hAnsiTheme="majorHAnsi" w:cstheme="majorHAnsi"/>
          <w:lang w:val="de-DE"/>
        </w:rPr>
        <w:t>die Wahl zwischen</w:t>
      </w:r>
      <w:r w:rsidR="00564C5E">
        <w:rPr>
          <w:rFonts w:asciiTheme="majorHAnsi" w:hAnsiTheme="majorHAnsi" w:cstheme="majorHAnsi"/>
          <w:lang w:val="de-DE"/>
        </w:rPr>
        <w:t xml:space="preserve"> </w:t>
      </w:r>
      <w:r w:rsidR="00361B60">
        <w:rPr>
          <w:rFonts w:asciiTheme="majorHAnsi" w:hAnsiTheme="majorHAnsi" w:cstheme="majorHAnsi"/>
          <w:lang w:val="de-DE"/>
        </w:rPr>
        <w:t>leicht zu verarbeitenden Standardgrundierungen</w:t>
      </w:r>
      <w:r w:rsidR="00564C5E">
        <w:rPr>
          <w:rFonts w:asciiTheme="majorHAnsi" w:hAnsiTheme="majorHAnsi" w:cstheme="majorHAnsi"/>
          <w:lang w:val="de-DE"/>
        </w:rPr>
        <w:t xml:space="preserve"> </w:t>
      </w:r>
      <w:r w:rsidR="00084A89">
        <w:rPr>
          <w:rFonts w:asciiTheme="majorHAnsi" w:hAnsiTheme="majorHAnsi" w:cstheme="majorHAnsi"/>
          <w:lang w:val="de-DE"/>
        </w:rPr>
        <w:t xml:space="preserve">mit geringerem Feuchteschutz </w:t>
      </w:r>
      <w:r w:rsidR="00361B60">
        <w:rPr>
          <w:rFonts w:asciiTheme="majorHAnsi" w:hAnsiTheme="majorHAnsi" w:cstheme="majorHAnsi"/>
          <w:lang w:val="de-DE"/>
        </w:rPr>
        <w:t>sowie klassischen Epoxidharzgrundierungen, die</w:t>
      </w:r>
      <w:r w:rsidR="000A5238">
        <w:rPr>
          <w:rFonts w:asciiTheme="majorHAnsi" w:hAnsiTheme="majorHAnsi" w:cstheme="majorHAnsi"/>
          <w:lang w:val="de-DE"/>
        </w:rPr>
        <w:t xml:space="preserve"> </w:t>
      </w:r>
      <w:r w:rsidR="00044716">
        <w:rPr>
          <w:rFonts w:asciiTheme="majorHAnsi" w:hAnsiTheme="majorHAnsi" w:cstheme="majorHAnsi"/>
          <w:lang w:val="de-DE"/>
        </w:rPr>
        <w:t>über eine hohe Sperrwirkung gegen Feuchtigkeit</w:t>
      </w:r>
      <w:r w:rsidR="0034190C">
        <w:rPr>
          <w:rFonts w:asciiTheme="majorHAnsi" w:hAnsiTheme="majorHAnsi" w:cstheme="majorHAnsi"/>
          <w:lang w:val="de-DE"/>
        </w:rPr>
        <w:t xml:space="preserve"> verfügen</w:t>
      </w:r>
      <w:r w:rsidR="00DC6AA3">
        <w:rPr>
          <w:rFonts w:asciiTheme="majorHAnsi" w:hAnsiTheme="majorHAnsi" w:cstheme="majorHAnsi"/>
          <w:lang w:val="de-DE"/>
        </w:rPr>
        <w:t xml:space="preserve">, </w:t>
      </w:r>
      <w:r w:rsidR="00084A89">
        <w:rPr>
          <w:rFonts w:asciiTheme="majorHAnsi" w:hAnsiTheme="majorHAnsi" w:cstheme="majorHAnsi"/>
          <w:lang w:val="de-DE"/>
        </w:rPr>
        <w:t xml:space="preserve">jedoch </w:t>
      </w:r>
      <w:r w:rsidR="0048540F">
        <w:rPr>
          <w:rFonts w:asciiTheme="majorHAnsi" w:hAnsiTheme="majorHAnsi" w:cstheme="majorHAnsi"/>
          <w:lang w:val="de-DE"/>
        </w:rPr>
        <w:t xml:space="preserve">aufwändig </w:t>
      </w:r>
      <w:r w:rsidR="00DC6AA3">
        <w:rPr>
          <w:rFonts w:asciiTheme="majorHAnsi" w:hAnsiTheme="majorHAnsi" w:cstheme="majorHAnsi"/>
          <w:lang w:val="de-DE"/>
        </w:rPr>
        <w:t xml:space="preserve">in der </w:t>
      </w:r>
      <w:r w:rsidR="0048540F">
        <w:rPr>
          <w:rFonts w:asciiTheme="majorHAnsi" w:hAnsiTheme="majorHAnsi" w:cstheme="majorHAnsi"/>
          <w:lang w:val="de-DE"/>
        </w:rPr>
        <w:t xml:space="preserve">Verarbeitung </w:t>
      </w:r>
      <w:r w:rsidR="00DC6AA3">
        <w:rPr>
          <w:rFonts w:asciiTheme="majorHAnsi" w:hAnsiTheme="majorHAnsi" w:cstheme="majorHAnsi"/>
          <w:lang w:val="de-DE"/>
        </w:rPr>
        <w:t>sind</w:t>
      </w:r>
      <w:r w:rsidR="0034190C">
        <w:rPr>
          <w:rFonts w:asciiTheme="majorHAnsi" w:hAnsiTheme="majorHAnsi" w:cstheme="majorHAnsi"/>
          <w:lang w:val="de-DE"/>
        </w:rPr>
        <w:t xml:space="preserve">. </w:t>
      </w:r>
      <w:r w:rsidR="000A5238">
        <w:rPr>
          <w:rFonts w:asciiTheme="majorHAnsi" w:hAnsiTheme="majorHAnsi" w:cstheme="majorHAnsi"/>
          <w:lang w:val="de-DE"/>
        </w:rPr>
        <w:t xml:space="preserve">weber.prim  804 vereint </w:t>
      </w:r>
      <w:r w:rsidR="00DC6AA3">
        <w:rPr>
          <w:rFonts w:asciiTheme="majorHAnsi" w:hAnsiTheme="majorHAnsi" w:cstheme="majorHAnsi"/>
          <w:lang w:val="de-DE"/>
        </w:rPr>
        <w:t>die</w:t>
      </w:r>
      <w:r w:rsidR="000A5238">
        <w:rPr>
          <w:rFonts w:asciiTheme="majorHAnsi" w:hAnsiTheme="majorHAnsi" w:cstheme="majorHAnsi"/>
          <w:lang w:val="de-DE"/>
        </w:rPr>
        <w:t xml:space="preserve"> Vorteile </w:t>
      </w:r>
      <w:r w:rsidR="00DC6AA3">
        <w:rPr>
          <w:rFonts w:asciiTheme="majorHAnsi" w:hAnsiTheme="majorHAnsi" w:cstheme="majorHAnsi"/>
          <w:lang w:val="de-DE"/>
        </w:rPr>
        <w:t>beider Produktgruppen</w:t>
      </w:r>
      <w:r w:rsidR="003C171D">
        <w:rPr>
          <w:rFonts w:asciiTheme="majorHAnsi" w:hAnsiTheme="majorHAnsi" w:cstheme="majorHAnsi"/>
          <w:lang w:val="de-DE"/>
        </w:rPr>
        <w:t xml:space="preserve"> </w:t>
      </w:r>
      <w:r w:rsidR="00361B60">
        <w:rPr>
          <w:rFonts w:asciiTheme="majorHAnsi" w:hAnsiTheme="majorHAnsi" w:cstheme="majorHAnsi"/>
          <w:lang w:val="de-DE"/>
        </w:rPr>
        <w:t>– und zwar ohne die bekannten Ein</w:t>
      </w:r>
      <w:r w:rsidR="00637576">
        <w:rPr>
          <w:rFonts w:asciiTheme="majorHAnsi" w:hAnsiTheme="majorHAnsi" w:cstheme="majorHAnsi"/>
          <w:lang w:val="de-DE"/>
        </w:rPr>
        <w:t>schränkungen bei Formatauswahl</w:t>
      </w:r>
      <w:r w:rsidR="00361B60">
        <w:rPr>
          <w:rFonts w:asciiTheme="majorHAnsi" w:hAnsiTheme="majorHAnsi" w:cstheme="majorHAnsi"/>
          <w:lang w:val="de-DE"/>
        </w:rPr>
        <w:t>, Verarbeitung</w:t>
      </w:r>
      <w:r w:rsidR="00637576">
        <w:rPr>
          <w:rFonts w:asciiTheme="majorHAnsi" w:hAnsiTheme="majorHAnsi" w:cstheme="majorHAnsi"/>
          <w:lang w:val="de-DE"/>
        </w:rPr>
        <w:t xml:space="preserve">sweise oder Trocknungszeiten. </w:t>
      </w:r>
      <w:r w:rsidR="0034190C">
        <w:rPr>
          <w:rFonts w:asciiTheme="majorHAnsi" w:hAnsiTheme="majorHAnsi" w:cstheme="majorHAnsi"/>
          <w:lang w:val="de-DE"/>
        </w:rPr>
        <w:t>So lässt sich die neue Multifunktions-Grundierung</w:t>
      </w:r>
      <w:r w:rsidR="00361B60">
        <w:rPr>
          <w:rFonts w:asciiTheme="majorHAnsi" w:hAnsiTheme="majorHAnsi" w:cstheme="majorHAnsi"/>
          <w:lang w:val="de-DE"/>
        </w:rPr>
        <w:t xml:space="preserve"> auch problemlos</w:t>
      </w:r>
      <w:r w:rsidR="0034190C">
        <w:rPr>
          <w:rFonts w:asciiTheme="majorHAnsi" w:hAnsiTheme="majorHAnsi" w:cstheme="majorHAnsi"/>
          <w:lang w:val="de-DE"/>
        </w:rPr>
        <w:t xml:space="preserve"> </w:t>
      </w:r>
      <w:r w:rsidR="003648F1">
        <w:rPr>
          <w:rFonts w:asciiTheme="majorHAnsi" w:hAnsiTheme="majorHAnsi" w:cstheme="majorHAnsi"/>
          <w:lang w:val="de-DE"/>
        </w:rPr>
        <w:t>bei</w:t>
      </w:r>
      <w:r w:rsidR="0034190C">
        <w:rPr>
          <w:rFonts w:asciiTheme="majorHAnsi" w:hAnsiTheme="majorHAnsi" w:cstheme="majorHAnsi"/>
          <w:lang w:val="de-DE"/>
        </w:rPr>
        <w:t xml:space="preserve"> </w:t>
      </w:r>
      <w:r w:rsidR="003648F1">
        <w:rPr>
          <w:rFonts w:asciiTheme="majorHAnsi" w:hAnsiTheme="majorHAnsi" w:cstheme="majorHAnsi"/>
          <w:lang w:val="de-DE"/>
        </w:rPr>
        <w:t>großformatigem</w:t>
      </w:r>
      <w:r w:rsidR="00361B60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="00361B60">
        <w:rPr>
          <w:rFonts w:asciiTheme="majorHAnsi" w:hAnsiTheme="majorHAnsi" w:cstheme="majorHAnsi"/>
          <w:lang w:val="de-DE"/>
        </w:rPr>
        <w:t>Verlegegut</w:t>
      </w:r>
      <w:proofErr w:type="spellEnd"/>
      <w:r w:rsidR="00637576">
        <w:rPr>
          <w:rFonts w:asciiTheme="majorHAnsi" w:hAnsiTheme="majorHAnsi" w:cstheme="majorHAnsi"/>
          <w:lang w:val="de-DE"/>
        </w:rPr>
        <w:t xml:space="preserve"> verwenden. Sie eignet sich für saugende wie nicht saugende Untergründe und kann an Wand und Boden</w:t>
      </w:r>
      <w:r w:rsidR="003648F1">
        <w:rPr>
          <w:rFonts w:asciiTheme="majorHAnsi" w:hAnsiTheme="majorHAnsi" w:cstheme="majorHAnsi"/>
          <w:lang w:val="de-DE"/>
        </w:rPr>
        <w:t xml:space="preserve"> sowie</w:t>
      </w:r>
      <w:r w:rsidR="00637576">
        <w:rPr>
          <w:rFonts w:asciiTheme="majorHAnsi" w:hAnsiTheme="majorHAnsi" w:cstheme="majorHAnsi"/>
          <w:lang w:val="de-DE"/>
        </w:rPr>
        <w:t xml:space="preserve"> im Innen- und Außenbereich eingesetzt werden. </w:t>
      </w:r>
    </w:p>
    <w:p w:rsidR="0034190C" w:rsidRDefault="0034190C" w:rsidP="00953327">
      <w:pPr>
        <w:rPr>
          <w:rFonts w:asciiTheme="majorHAnsi" w:hAnsiTheme="majorHAnsi" w:cstheme="majorHAnsi"/>
          <w:lang w:val="de-DE"/>
        </w:rPr>
      </w:pPr>
    </w:p>
    <w:p w:rsidR="00564C5E" w:rsidRPr="004410A5" w:rsidRDefault="003648F1" w:rsidP="00953327">
      <w:pPr>
        <w:rPr>
          <w:rFonts w:asciiTheme="majorHAnsi" w:hAnsiTheme="majorHAnsi" w:cstheme="majorHAnsi"/>
          <w:b/>
          <w:lang w:val="de-DE"/>
        </w:rPr>
      </w:pPr>
      <w:r>
        <w:rPr>
          <w:rFonts w:asciiTheme="majorHAnsi" w:hAnsiTheme="majorHAnsi" w:cstheme="majorHAnsi"/>
          <w:b/>
          <w:lang w:val="de-DE"/>
        </w:rPr>
        <w:t>Deutliche Zeitersparnis</w:t>
      </w:r>
    </w:p>
    <w:p w:rsidR="00084A89" w:rsidRDefault="005F7209" w:rsidP="00802CD2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Die </w:t>
      </w:r>
      <w:r w:rsidR="004410A5">
        <w:rPr>
          <w:rFonts w:asciiTheme="majorHAnsi" w:hAnsiTheme="majorHAnsi" w:cstheme="majorHAnsi"/>
          <w:lang w:val="de-DE"/>
        </w:rPr>
        <w:t xml:space="preserve">neue </w:t>
      </w:r>
      <w:r>
        <w:rPr>
          <w:rFonts w:asciiTheme="majorHAnsi" w:hAnsiTheme="majorHAnsi" w:cstheme="majorHAnsi"/>
          <w:lang w:val="de-DE"/>
        </w:rPr>
        <w:t>gebrauchsfertige Spezialgrundierung</w:t>
      </w:r>
      <w:r w:rsidR="00DC6AA3">
        <w:rPr>
          <w:rFonts w:asciiTheme="majorHAnsi" w:hAnsiTheme="majorHAnsi" w:cstheme="majorHAnsi"/>
          <w:lang w:val="de-DE"/>
        </w:rPr>
        <w:t xml:space="preserve"> fungiert</w:t>
      </w:r>
      <w:r w:rsidR="002B185F">
        <w:rPr>
          <w:rFonts w:asciiTheme="majorHAnsi" w:hAnsiTheme="majorHAnsi" w:cstheme="majorHAnsi"/>
          <w:lang w:val="de-DE"/>
        </w:rPr>
        <w:t xml:space="preserve"> gleichzeitig </w:t>
      </w:r>
      <w:r w:rsidR="00DC6AA3">
        <w:rPr>
          <w:rFonts w:asciiTheme="majorHAnsi" w:hAnsiTheme="majorHAnsi" w:cstheme="majorHAnsi"/>
          <w:lang w:val="de-DE"/>
        </w:rPr>
        <w:t xml:space="preserve">als </w:t>
      </w:r>
      <w:r w:rsidR="002B185F">
        <w:rPr>
          <w:rFonts w:asciiTheme="majorHAnsi" w:hAnsiTheme="majorHAnsi" w:cstheme="majorHAnsi"/>
          <w:lang w:val="de-DE"/>
        </w:rPr>
        <w:t xml:space="preserve">Haftvermittler und </w:t>
      </w:r>
      <w:r w:rsidR="0011287B">
        <w:rPr>
          <w:rFonts w:asciiTheme="majorHAnsi" w:hAnsiTheme="majorHAnsi" w:cstheme="majorHAnsi"/>
          <w:lang w:val="de-DE"/>
        </w:rPr>
        <w:t>ermögl</w:t>
      </w:r>
      <w:r w:rsidR="00DC6AA3">
        <w:rPr>
          <w:rFonts w:asciiTheme="majorHAnsi" w:hAnsiTheme="majorHAnsi" w:cstheme="majorHAnsi"/>
          <w:lang w:val="de-DE"/>
        </w:rPr>
        <w:t>i</w:t>
      </w:r>
      <w:r w:rsidR="0011287B">
        <w:rPr>
          <w:rFonts w:asciiTheme="majorHAnsi" w:hAnsiTheme="majorHAnsi" w:cstheme="majorHAnsi"/>
          <w:lang w:val="de-DE"/>
        </w:rPr>
        <w:t>cht</w:t>
      </w:r>
      <w:r w:rsidR="002B185F">
        <w:rPr>
          <w:rFonts w:asciiTheme="majorHAnsi" w:hAnsiTheme="majorHAnsi" w:cstheme="majorHAnsi"/>
          <w:lang w:val="de-DE"/>
        </w:rPr>
        <w:t xml:space="preserve"> so eine schnelle Aufnahme der Folgearbeiten. </w:t>
      </w:r>
      <w:r w:rsidR="003648F1">
        <w:rPr>
          <w:rFonts w:asciiTheme="majorHAnsi" w:hAnsiTheme="majorHAnsi" w:cstheme="majorHAnsi"/>
          <w:lang w:val="de-DE"/>
        </w:rPr>
        <w:t>Bereits nach etwa einer Stunde ist die Fläche begeh- und belegbar. Zum Vergleich: Klassische</w:t>
      </w:r>
      <w:r w:rsidR="00463EA6">
        <w:rPr>
          <w:rFonts w:asciiTheme="majorHAnsi" w:hAnsiTheme="majorHAnsi" w:cstheme="majorHAnsi"/>
          <w:lang w:val="de-DE"/>
        </w:rPr>
        <w:t xml:space="preserve"> Epoxidharzgrundierungen </w:t>
      </w:r>
      <w:r w:rsidR="003648F1">
        <w:rPr>
          <w:rFonts w:asciiTheme="majorHAnsi" w:hAnsiTheme="majorHAnsi" w:cstheme="majorHAnsi"/>
          <w:lang w:val="de-DE"/>
        </w:rPr>
        <w:t xml:space="preserve">haben </w:t>
      </w:r>
      <w:r w:rsidR="003648F1">
        <w:rPr>
          <w:rFonts w:asciiTheme="majorHAnsi" w:hAnsiTheme="majorHAnsi" w:cstheme="majorHAnsi"/>
          <w:lang w:val="de-DE"/>
        </w:rPr>
        <w:lastRenderedPageBreak/>
        <w:t>eine Trocknungszeit von</w:t>
      </w:r>
      <w:r w:rsidR="00EE6434">
        <w:rPr>
          <w:rFonts w:asciiTheme="majorHAnsi" w:hAnsiTheme="majorHAnsi" w:cstheme="majorHAnsi"/>
          <w:lang w:val="de-DE"/>
        </w:rPr>
        <w:t xml:space="preserve"> </w:t>
      </w:r>
      <w:r w:rsidR="00463EA6">
        <w:rPr>
          <w:rFonts w:asciiTheme="majorHAnsi" w:hAnsiTheme="majorHAnsi" w:cstheme="majorHAnsi"/>
          <w:lang w:val="de-DE"/>
        </w:rPr>
        <w:t>vier bis ze</w:t>
      </w:r>
      <w:r w:rsidR="0011287B">
        <w:rPr>
          <w:rFonts w:asciiTheme="majorHAnsi" w:hAnsiTheme="majorHAnsi" w:cstheme="majorHAnsi"/>
          <w:lang w:val="de-DE"/>
        </w:rPr>
        <w:t>hn Stunden. B</w:t>
      </w:r>
      <w:r w:rsidR="00EE6434">
        <w:rPr>
          <w:rFonts w:asciiTheme="majorHAnsi" w:hAnsiTheme="majorHAnsi" w:cstheme="majorHAnsi"/>
          <w:lang w:val="de-DE"/>
        </w:rPr>
        <w:t xml:space="preserve">ei </w:t>
      </w:r>
      <w:r w:rsidR="00116368">
        <w:rPr>
          <w:rFonts w:asciiTheme="majorHAnsi" w:hAnsiTheme="majorHAnsi" w:cstheme="majorHAnsi"/>
          <w:lang w:val="de-DE"/>
        </w:rPr>
        <w:t>Standard</w:t>
      </w:r>
      <w:r w:rsidR="00EE6434">
        <w:rPr>
          <w:rFonts w:asciiTheme="majorHAnsi" w:hAnsiTheme="majorHAnsi" w:cstheme="majorHAnsi"/>
          <w:lang w:val="de-DE"/>
        </w:rPr>
        <w:t xml:space="preserve">grundierungen müssen </w:t>
      </w:r>
      <w:proofErr w:type="spellStart"/>
      <w:r w:rsidR="003648F1">
        <w:rPr>
          <w:rFonts w:asciiTheme="majorHAnsi" w:hAnsiTheme="majorHAnsi" w:cstheme="majorHAnsi"/>
          <w:lang w:val="de-DE"/>
        </w:rPr>
        <w:t>Ablüftzeiten</w:t>
      </w:r>
      <w:proofErr w:type="spellEnd"/>
      <w:r w:rsidR="003648F1">
        <w:rPr>
          <w:rFonts w:asciiTheme="majorHAnsi" w:hAnsiTheme="majorHAnsi" w:cstheme="majorHAnsi"/>
          <w:lang w:val="de-DE"/>
        </w:rPr>
        <w:t xml:space="preserve"> von etwa</w:t>
      </w:r>
      <w:r w:rsidR="00EE6434">
        <w:rPr>
          <w:rFonts w:asciiTheme="majorHAnsi" w:hAnsiTheme="majorHAnsi" w:cstheme="majorHAnsi"/>
          <w:lang w:val="de-DE"/>
        </w:rPr>
        <w:t xml:space="preserve"> 12 Stunden ein</w:t>
      </w:r>
      <w:r w:rsidR="003648F1">
        <w:rPr>
          <w:rFonts w:asciiTheme="majorHAnsi" w:hAnsiTheme="majorHAnsi" w:cstheme="majorHAnsi"/>
          <w:lang w:val="de-DE"/>
        </w:rPr>
        <w:t>ge</w:t>
      </w:r>
      <w:r w:rsidR="00EE6434">
        <w:rPr>
          <w:rFonts w:asciiTheme="majorHAnsi" w:hAnsiTheme="majorHAnsi" w:cstheme="majorHAnsi"/>
          <w:lang w:val="de-DE"/>
        </w:rPr>
        <w:t>halten</w:t>
      </w:r>
      <w:r w:rsidR="003648F1">
        <w:rPr>
          <w:rFonts w:asciiTheme="majorHAnsi" w:hAnsiTheme="majorHAnsi" w:cstheme="majorHAnsi"/>
          <w:lang w:val="de-DE"/>
        </w:rPr>
        <w:t xml:space="preserve"> werden</w:t>
      </w:r>
      <w:r w:rsidR="00EE6434">
        <w:rPr>
          <w:rFonts w:asciiTheme="majorHAnsi" w:hAnsiTheme="majorHAnsi" w:cstheme="majorHAnsi"/>
          <w:lang w:val="de-DE"/>
        </w:rPr>
        <w:t xml:space="preserve">. </w:t>
      </w:r>
    </w:p>
    <w:p w:rsidR="00084A89" w:rsidRDefault="00084A89" w:rsidP="00802CD2">
      <w:pPr>
        <w:rPr>
          <w:rFonts w:asciiTheme="majorHAnsi" w:hAnsiTheme="majorHAnsi" w:cstheme="majorHAnsi"/>
          <w:lang w:val="de-DE"/>
        </w:rPr>
      </w:pPr>
    </w:p>
    <w:p w:rsidR="00115F01" w:rsidRDefault="00084A89" w:rsidP="00802CD2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E</w:t>
      </w:r>
      <w:r w:rsidR="00DC6AA3">
        <w:rPr>
          <w:rFonts w:asciiTheme="majorHAnsi" w:hAnsiTheme="majorHAnsi" w:cstheme="majorHAnsi"/>
          <w:lang w:val="de-DE"/>
        </w:rPr>
        <w:t>ine</w:t>
      </w:r>
      <w:r w:rsidR="00DC6AA3" w:rsidRPr="00802CD2">
        <w:rPr>
          <w:rFonts w:asciiTheme="majorHAnsi" w:hAnsiTheme="majorHAnsi" w:cstheme="majorHAnsi"/>
          <w:lang w:val="de-DE"/>
        </w:rPr>
        <w:t xml:space="preserve"> </w:t>
      </w:r>
      <w:r>
        <w:rPr>
          <w:rFonts w:asciiTheme="majorHAnsi" w:hAnsiTheme="majorHAnsi" w:cstheme="majorHAnsi"/>
          <w:lang w:val="de-DE"/>
        </w:rPr>
        <w:t xml:space="preserve">zusätzliche </w:t>
      </w:r>
      <w:proofErr w:type="spellStart"/>
      <w:r w:rsidR="00DC6AA3" w:rsidRPr="00802CD2">
        <w:rPr>
          <w:rFonts w:asciiTheme="majorHAnsi" w:hAnsiTheme="majorHAnsi" w:cstheme="majorHAnsi"/>
          <w:lang w:val="de-DE"/>
        </w:rPr>
        <w:t>Quarzsandabstreuung</w:t>
      </w:r>
      <w:proofErr w:type="spellEnd"/>
      <w:r w:rsidR="00DC6AA3" w:rsidRPr="00802CD2">
        <w:rPr>
          <w:rFonts w:asciiTheme="majorHAnsi" w:hAnsiTheme="majorHAnsi" w:cstheme="majorHAnsi"/>
          <w:lang w:val="de-DE"/>
        </w:rPr>
        <w:t xml:space="preserve"> </w:t>
      </w:r>
      <w:r>
        <w:rPr>
          <w:rFonts w:asciiTheme="majorHAnsi" w:hAnsiTheme="majorHAnsi" w:cstheme="majorHAnsi"/>
          <w:lang w:val="de-DE"/>
        </w:rPr>
        <w:t xml:space="preserve">erübrigt sich ebenso </w:t>
      </w:r>
      <w:r w:rsidR="0023521A">
        <w:rPr>
          <w:rFonts w:asciiTheme="majorHAnsi" w:hAnsiTheme="majorHAnsi" w:cstheme="majorHAnsi"/>
          <w:lang w:val="de-DE"/>
        </w:rPr>
        <w:t xml:space="preserve">wie ein </w:t>
      </w:r>
      <w:r w:rsidR="0037618A" w:rsidRPr="00802CD2">
        <w:rPr>
          <w:rFonts w:asciiTheme="majorHAnsi" w:hAnsiTheme="majorHAnsi" w:cstheme="majorHAnsi"/>
          <w:lang w:val="de-DE"/>
        </w:rPr>
        <w:t xml:space="preserve"> Zusammenmischen der </w:t>
      </w:r>
      <w:r w:rsidR="00F7794B" w:rsidRPr="00802CD2">
        <w:rPr>
          <w:rFonts w:asciiTheme="majorHAnsi" w:hAnsiTheme="majorHAnsi" w:cstheme="majorHAnsi"/>
          <w:lang w:val="de-DE"/>
        </w:rPr>
        <w:t>Einzelkomponenten und Umtopfen</w:t>
      </w:r>
      <w:r w:rsidR="0023521A">
        <w:rPr>
          <w:rFonts w:asciiTheme="majorHAnsi" w:hAnsiTheme="majorHAnsi" w:cstheme="majorHAnsi"/>
          <w:lang w:val="de-DE"/>
        </w:rPr>
        <w:t xml:space="preserve">. Dank </w:t>
      </w:r>
      <w:r w:rsidR="00115F01">
        <w:rPr>
          <w:rFonts w:asciiTheme="majorHAnsi" w:hAnsiTheme="majorHAnsi" w:cstheme="majorHAnsi"/>
          <w:lang w:val="de-DE"/>
        </w:rPr>
        <w:t xml:space="preserve"> der 1-komponentigen Rezeptur </w:t>
      </w:r>
      <w:r w:rsidR="0023521A">
        <w:rPr>
          <w:rFonts w:asciiTheme="majorHAnsi" w:hAnsiTheme="majorHAnsi" w:cstheme="majorHAnsi"/>
          <w:lang w:val="de-DE"/>
        </w:rPr>
        <w:t xml:space="preserve">kann </w:t>
      </w:r>
      <w:r w:rsidR="00E44718" w:rsidRPr="00802CD2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="00E44718" w:rsidRPr="00802CD2">
        <w:rPr>
          <w:rFonts w:asciiTheme="majorHAnsi" w:hAnsiTheme="majorHAnsi" w:cstheme="majorHAnsi"/>
          <w:lang w:val="de-DE"/>
        </w:rPr>
        <w:t>weber.prim</w:t>
      </w:r>
      <w:proofErr w:type="spellEnd"/>
      <w:r w:rsidR="00E44718" w:rsidRPr="00802CD2">
        <w:rPr>
          <w:rFonts w:asciiTheme="majorHAnsi" w:hAnsiTheme="majorHAnsi" w:cstheme="majorHAnsi"/>
          <w:lang w:val="de-DE"/>
        </w:rPr>
        <w:t xml:space="preserve"> 804 schnell und einfach direkt </w:t>
      </w:r>
      <w:proofErr w:type="gramStart"/>
      <w:r w:rsidR="00E44718" w:rsidRPr="00802CD2">
        <w:rPr>
          <w:rFonts w:asciiTheme="majorHAnsi" w:hAnsiTheme="majorHAnsi" w:cstheme="majorHAnsi"/>
          <w:lang w:val="de-DE"/>
        </w:rPr>
        <w:t>im</w:t>
      </w:r>
      <w:proofErr w:type="gramEnd"/>
      <w:r w:rsidR="00E44718" w:rsidRPr="00802CD2">
        <w:rPr>
          <w:rFonts w:asciiTheme="majorHAnsi" w:hAnsiTheme="majorHAnsi" w:cstheme="majorHAnsi"/>
          <w:lang w:val="de-DE"/>
        </w:rPr>
        <w:t xml:space="preserve"> Gebinde aufgemischt werden. </w:t>
      </w:r>
    </w:p>
    <w:p w:rsidR="00115F01" w:rsidRDefault="00115F01" w:rsidP="00802CD2">
      <w:pPr>
        <w:rPr>
          <w:rFonts w:asciiTheme="majorHAnsi" w:hAnsiTheme="majorHAnsi" w:cstheme="majorHAnsi"/>
          <w:lang w:val="de-DE"/>
        </w:rPr>
      </w:pPr>
    </w:p>
    <w:p w:rsidR="00115F01" w:rsidRPr="00115F01" w:rsidRDefault="00115F01" w:rsidP="00802CD2">
      <w:pPr>
        <w:rPr>
          <w:rFonts w:asciiTheme="majorHAnsi" w:hAnsiTheme="majorHAnsi" w:cstheme="majorHAnsi"/>
          <w:b/>
          <w:lang w:val="de-DE"/>
        </w:rPr>
      </w:pPr>
      <w:r w:rsidRPr="00115F01">
        <w:rPr>
          <w:rFonts w:asciiTheme="majorHAnsi" w:hAnsiTheme="majorHAnsi" w:cstheme="majorHAnsi"/>
          <w:b/>
          <w:lang w:val="de-DE"/>
        </w:rPr>
        <w:t>Sauber und ergiebig</w:t>
      </w:r>
    </w:p>
    <w:p w:rsidR="00DC6AA3" w:rsidRDefault="00115F01" w:rsidP="00802CD2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Der Materialbedarf beläuft sich </w:t>
      </w:r>
      <w:r w:rsidRPr="00802CD2">
        <w:rPr>
          <w:rFonts w:asciiTheme="majorHAnsi" w:hAnsiTheme="majorHAnsi" w:cstheme="majorHAnsi"/>
          <w:lang w:val="de-DE"/>
        </w:rPr>
        <w:t>je nach Auftrag u</w:t>
      </w:r>
      <w:r>
        <w:rPr>
          <w:rFonts w:asciiTheme="majorHAnsi" w:hAnsiTheme="majorHAnsi" w:cstheme="majorHAnsi"/>
          <w:lang w:val="de-DE"/>
        </w:rPr>
        <w:t>nd Saugfähigkeit des Untergrund</w:t>
      </w:r>
      <w:r w:rsidRPr="00802CD2">
        <w:rPr>
          <w:rFonts w:asciiTheme="majorHAnsi" w:hAnsiTheme="majorHAnsi" w:cstheme="majorHAnsi"/>
          <w:lang w:val="de-DE"/>
        </w:rPr>
        <w:t>s</w:t>
      </w:r>
      <w:r>
        <w:rPr>
          <w:rFonts w:asciiTheme="majorHAnsi" w:hAnsiTheme="majorHAnsi" w:cstheme="majorHAnsi"/>
          <w:lang w:val="de-DE"/>
        </w:rPr>
        <w:t xml:space="preserve"> auf etwa 150-200 g/m². </w:t>
      </w:r>
      <w:proofErr w:type="gramStart"/>
      <w:r>
        <w:rPr>
          <w:rFonts w:asciiTheme="majorHAnsi" w:hAnsiTheme="majorHAnsi" w:cstheme="majorHAnsi"/>
          <w:lang w:val="de-DE"/>
        </w:rPr>
        <w:t>Das</w:t>
      </w:r>
      <w:proofErr w:type="gramEnd"/>
      <w:r>
        <w:rPr>
          <w:rFonts w:asciiTheme="majorHAnsi" w:hAnsiTheme="majorHAnsi" w:cstheme="majorHAnsi"/>
          <w:lang w:val="de-DE"/>
        </w:rPr>
        <w:t xml:space="preserve"> wiederverschließbare Gebinde ermöglicht</w:t>
      </w:r>
      <w:r w:rsidR="00E44718" w:rsidRPr="00802CD2">
        <w:rPr>
          <w:rFonts w:asciiTheme="majorHAnsi" w:hAnsiTheme="majorHAnsi" w:cstheme="majorHAnsi"/>
          <w:lang w:val="de-DE"/>
        </w:rPr>
        <w:t xml:space="preserve"> </w:t>
      </w:r>
      <w:r>
        <w:rPr>
          <w:rFonts w:asciiTheme="majorHAnsi" w:hAnsiTheme="majorHAnsi" w:cstheme="majorHAnsi"/>
          <w:lang w:val="de-DE"/>
        </w:rPr>
        <w:t xml:space="preserve">dabei </w:t>
      </w:r>
      <w:r w:rsidR="00E44718" w:rsidRPr="00802CD2">
        <w:rPr>
          <w:rFonts w:asciiTheme="majorHAnsi" w:hAnsiTheme="majorHAnsi" w:cstheme="majorHAnsi"/>
          <w:lang w:val="de-DE"/>
        </w:rPr>
        <w:t>eine optimale Mengendosierung</w:t>
      </w:r>
      <w:r>
        <w:rPr>
          <w:rFonts w:asciiTheme="majorHAnsi" w:hAnsiTheme="majorHAnsi" w:cstheme="majorHAnsi"/>
          <w:lang w:val="de-DE"/>
        </w:rPr>
        <w:t xml:space="preserve"> und hilft, Restmengen zu vermeiden</w:t>
      </w:r>
      <w:r w:rsidR="00E44718" w:rsidRPr="00802CD2">
        <w:rPr>
          <w:rFonts w:asciiTheme="majorHAnsi" w:hAnsiTheme="majorHAnsi" w:cstheme="majorHAnsi"/>
          <w:lang w:val="de-DE"/>
        </w:rPr>
        <w:t xml:space="preserve">. </w:t>
      </w:r>
      <w:r w:rsidR="00A15CA0" w:rsidRPr="00802CD2">
        <w:rPr>
          <w:rFonts w:asciiTheme="majorHAnsi" w:hAnsiTheme="majorHAnsi" w:cstheme="majorHAnsi"/>
          <w:lang w:val="de-DE"/>
        </w:rPr>
        <w:t>Der Auftrag</w:t>
      </w:r>
      <w:r>
        <w:rPr>
          <w:rFonts w:asciiTheme="majorHAnsi" w:hAnsiTheme="majorHAnsi" w:cstheme="majorHAnsi"/>
          <w:lang w:val="de-DE"/>
        </w:rPr>
        <w:t xml:space="preserve"> der Grundierung</w:t>
      </w:r>
      <w:r w:rsidR="00A15CA0" w:rsidRPr="00802CD2">
        <w:rPr>
          <w:rFonts w:asciiTheme="majorHAnsi" w:hAnsiTheme="majorHAnsi" w:cstheme="majorHAnsi"/>
          <w:lang w:val="de-DE"/>
        </w:rPr>
        <w:t xml:space="preserve"> kann mit Pinsel, Bürste oder Rolle erfolgen</w:t>
      </w:r>
      <w:r w:rsidR="00802CD2" w:rsidRPr="00802CD2">
        <w:rPr>
          <w:rFonts w:asciiTheme="majorHAnsi" w:hAnsiTheme="majorHAnsi" w:cstheme="majorHAnsi"/>
          <w:lang w:val="de-DE"/>
        </w:rPr>
        <w:t xml:space="preserve">. </w:t>
      </w:r>
      <w:r>
        <w:rPr>
          <w:rFonts w:asciiTheme="majorHAnsi" w:hAnsiTheme="majorHAnsi" w:cstheme="majorHAnsi"/>
          <w:lang w:val="de-DE"/>
        </w:rPr>
        <w:t xml:space="preserve">Zum Reinigen der </w:t>
      </w:r>
      <w:r w:rsidR="00A15CA0" w:rsidRPr="00802CD2">
        <w:rPr>
          <w:rFonts w:asciiTheme="majorHAnsi" w:hAnsiTheme="majorHAnsi" w:cstheme="majorHAnsi"/>
          <w:lang w:val="de-DE"/>
        </w:rPr>
        <w:t xml:space="preserve">Werkzeuge </w:t>
      </w:r>
      <w:r>
        <w:rPr>
          <w:rFonts w:asciiTheme="majorHAnsi" w:hAnsiTheme="majorHAnsi" w:cstheme="majorHAnsi"/>
          <w:lang w:val="de-DE"/>
        </w:rPr>
        <w:t xml:space="preserve">genügt klares Wasser. </w:t>
      </w:r>
    </w:p>
    <w:p w:rsidR="00DC6AA3" w:rsidRDefault="00DC6AA3" w:rsidP="00802CD2">
      <w:pPr>
        <w:rPr>
          <w:rFonts w:asciiTheme="majorHAnsi" w:hAnsiTheme="majorHAnsi" w:cstheme="majorHAnsi"/>
          <w:lang w:val="de-DE"/>
        </w:rPr>
      </w:pPr>
    </w:p>
    <w:p w:rsidR="00DC6AA3" w:rsidRPr="00DC6AA3" w:rsidRDefault="00DC6AA3" w:rsidP="00802CD2">
      <w:pPr>
        <w:rPr>
          <w:rFonts w:asciiTheme="majorHAnsi" w:hAnsiTheme="majorHAnsi" w:cstheme="majorHAnsi"/>
          <w:b/>
          <w:lang w:val="de-DE"/>
        </w:rPr>
      </w:pPr>
      <w:r w:rsidRPr="00DC6AA3">
        <w:rPr>
          <w:rFonts w:asciiTheme="majorHAnsi" w:hAnsiTheme="majorHAnsi" w:cstheme="majorHAnsi"/>
          <w:b/>
          <w:lang w:val="de-DE"/>
        </w:rPr>
        <w:t>Markteinführung im April 2018</w:t>
      </w:r>
    </w:p>
    <w:p w:rsidR="00115F01" w:rsidRPr="00802CD2" w:rsidRDefault="00DC6AA3" w:rsidP="00802CD2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Die neue Multifunktionsgrundierung ist </w:t>
      </w:r>
      <w:r w:rsidR="00084A89">
        <w:rPr>
          <w:rFonts w:asciiTheme="majorHAnsi" w:hAnsiTheme="majorHAnsi" w:cstheme="majorHAnsi"/>
          <w:lang w:val="de-DE"/>
        </w:rPr>
        <w:t xml:space="preserve">seit </w:t>
      </w:r>
      <w:r>
        <w:rPr>
          <w:rFonts w:asciiTheme="majorHAnsi" w:hAnsiTheme="majorHAnsi" w:cstheme="majorHAnsi"/>
          <w:lang w:val="de-DE"/>
        </w:rPr>
        <w:t>April 2018 verfügbar. Zur Einführung präsentiert sich das neue Multitalent im ausgewählten Fachhandel mit attraktiven Aktionspaletten und Thekenaufstellern. Als Zugabe zum Kampagnenstart bietet Weber außerdem eine praktische Eimerkralle f</w:t>
      </w:r>
      <w:r w:rsidR="00115F01">
        <w:rPr>
          <w:rFonts w:asciiTheme="majorHAnsi" w:hAnsiTheme="majorHAnsi" w:cstheme="majorHAnsi"/>
          <w:lang w:val="de-DE"/>
        </w:rPr>
        <w:t xml:space="preserve">ür </w:t>
      </w:r>
      <w:r w:rsidR="0011287B">
        <w:rPr>
          <w:rFonts w:asciiTheme="majorHAnsi" w:hAnsiTheme="majorHAnsi" w:cstheme="majorHAnsi"/>
          <w:lang w:val="de-DE"/>
        </w:rPr>
        <w:t>eine besonders saubere Arbeitsweise</w:t>
      </w:r>
      <w:r w:rsidR="00115F01">
        <w:rPr>
          <w:rFonts w:asciiTheme="majorHAnsi" w:hAnsiTheme="majorHAnsi" w:cstheme="majorHAnsi"/>
          <w:lang w:val="de-DE"/>
        </w:rPr>
        <w:t xml:space="preserve">. Sie lässt sich einfach und schnell am </w:t>
      </w:r>
      <w:proofErr w:type="spellStart"/>
      <w:r w:rsidR="00115F01">
        <w:rPr>
          <w:rFonts w:asciiTheme="majorHAnsi" w:hAnsiTheme="majorHAnsi" w:cstheme="majorHAnsi"/>
          <w:lang w:val="de-DE"/>
        </w:rPr>
        <w:t>Gebinderand</w:t>
      </w:r>
      <w:proofErr w:type="spellEnd"/>
      <w:r w:rsidR="00115F01">
        <w:rPr>
          <w:rFonts w:asciiTheme="majorHAnsi" w:hAnsiTheme="majorHAnsi" w:cstheme="majorHAnsi"/>
          <w:lang w:val="de-DE"/>
        </w:rPr>
        <w:t xml:space="preserve"> befestigen und fixiert Pinsel, Kellen und Spachtel in der Halterung. Ein „Abtauchen“ der Werkzeuge wird somit verhindert. </w:t>
      </w:r>
    </w:p>
    <w:p w:rsidR="00802CD2" w:rsidRDefault="00802CD2" w:rsidP="00802CD2">
      <w:pPr>
        <w:rPr>
          <w:rFonts w:asciiTheme="majorHAnsi" w:hAnsiTheme="majorHAnsi" w:cstheme="majorHAnsi"/>
          <w:lang w:val="de-DE"/>
        </w:rPr>
      </w:pPr>
    </w:p>
    <w:p w:rsidR="00A04BF6" w:rsidRPr="00EC0E53" w:rsidRDefault="00544C62" w:rsidP="005B6248">
      <w:pPr>
        <w:ind w:left="4248"/>
        <w:rPr>
          <w:rFonts w:asciiTheme="majorHAnsi" w:hAnsiTheme="majorHAnsi" w:cstheme="majorHAnsi"/>
          <w:lang w:val="de-DE"/>
        </w:rPr>
      </w:pPr>
      <w:r w:rsidRPr="00EC0E53">
        <w:rPr>
          <w:rFonts w:asciiTheme="majorHAnsi" w:hAnsiTheme="majorHAnsi" w:cstheme="majorHAnsi"/>
          <w:lang w:val="de-DE"/>
        </w:rPr>
        <w:t>Zeichen Flie</w:t>
      </w:r>
      <w:r w:rsidR="00980DB0">
        <w:rPr>
          <w:rFonts w:asciiTheme="majorHAnsi" w:hAnsiTheme="majorHAnsi" w:cstheme="majorHAnsi"/>
          <w:lang w:val="de-DE"/>
        </w:rPr>
        <w:t xml:space="preserve">ßtext (inkl. Leerzeichen): </w:t>
      </w:r>
      <w:r w:rsidR="00084A89">
        <w:rPr>
          <w:rFonts w:asciiTheme="majorHAnsi" w:hAnsiTheme="majorHAnsi" w:cstheme="majorHAnsi"/>
          <w:lang w:val="de-DE"/>
        </w:rPr>
        <w:t>ca. 2.771</w:t>
      </w:r>
    </w:p>
    <w:p w:rsidR="00DA7FAC" w:rsidRPr="00EC0E53" w:rsidRDefault="00DA7FAC" w:rsidP="00BD1E1E">
      <w:pPr>
        <w:rPr>
          <w:rFonts w:asciiTheme="majorHAnsi" w:hAnsiTheme="majorHAnsi" w:cstheme="majorHAnsi"/>
          <w:lang w:val="de-DE"/>
        </w:rPr>
      </w:pPr>
    </w:p>
    <w:p w:rsidR="00BD1E1E" w:rsidRPr="00EC0E53" w:rsidRDefault="00BD1E1E" w:rsidP="00B2146D">
      <w:pPr>
        <w:rPr>
          <w:rFonts w:asciiTheme="majorHAnsi" w:hAnsiTheme="majorHAnsi" w:cstheme="majorHAnsi"/>
          <w:b/>
          <w:lang w:val="de-DE"/>
        </w:rPr>
      </w:pPr>
      <w:r w:rsidRPr="00EC0E53">
        <w:rPr>
          <w:rFonts w:asciiTheme="majorHAnsi" w:hAnsiTheme="majorHAnsi" w:cstheme="majorHAnsi"/>
          <w:b/>
          <w:lang w:val="de-DE"/>
        </w:rPr>
        <w:t>Kontakt:</w:t>
      </w:r>
    </w:p>
    <w:p w:rsidR="00BD1E1E" w:rsidRPr="00DC6AA3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DC6AA3">
        <w:rPr>
          <w:rFonts w:asciiTheme="majorHAnsi" w:hAnsiTheme="majorHAnsi" w:cstheme="majorHAnsi"/>
          <w:lang w:val="de-DE"/>
        </w:rPr>
        <w:t>Saint-Gobain Weber GmbH</w:t>
      </w:r>
    </w:p>
    <w:p w:rsidR="00BD1E1E" w:rsidRPr="00DC6AA3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DC6AA3">
        <w:rPr>
          <w:rFonts w:asciiTheme="majorHAnsi" w:hAnsiTheme="majorHAnsi" w:cstheme="majorHAnsi"/>
          <w:lang w:val="de-DE"/>
        </w:rPr>
        <w:t>Christian Poprawa</w:t>
      </w:r>
    </w:p>
    <w:p w:rsidR="00BD1E1E" w:rsidRPr="00EC0E53" w:rsidRDefault="00BD1E1E" w:rsidP="00B2146D">
      <w:pPr>
        <w:spacing w:line="276" w:lineRule="auto"/>
        <w:rPr>
          <w:rFonts w:asciiTheme="majorHAnsi" w:hAnsiTheme="majorHAnsi" w:cstheme="majorHAnsi"/>
          <w:lang w:val="de-DE"/>
        </w:rPr>
      </w:pPr>
      <w:r w:rsidRPr="00EC0E53">
        <w:rPr>
          <w:rFonts w:asciiTheme="majorHAnsi" w:hAnsiTheme="majorHAnsi" w:cstheme="majorHAnsi"/>
          <w:lang w:val="de-DE"/>
        </w:rPr>
        <w:t xml:space="preserve">Schanzenstraße 84 </w:t>
      </w:r>
      <w:r w:rsidRPr="00EC0E53">
        <w:rPr>
          <w:rFonts w:asciiTheme="majorHAnsi" w:hAnsiTheme="majorHAnsi" w:cstheme="majorHAnsi"/>
          <w:lang w:val="de-DE"/>
        </w:rPr>
        <w:br/>
        <w:t>40549 Düsseldorf</w:t>
      </w:r>
    </w:p>
    <w:p w:rsidR="00BD1E1E" w:rsidRPr="00DC6AA3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DC6AA3">
        <w:rPr>
          <w:rFonts w:asciiTheme="majorHAnsi" w:hAnsiTheme="majorHAnsi" w:cstheme="majorHAnsi"/>
        </w:rPr>
        <w:t>Tel.: (0211) 91369 280</w:t>
      </w:r>
    </w:p>
    <w:p w:rsidR="00BD1E1E" w:rsidRPr="00DC6AA3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DC6AA3">
        <w:rPr>
          <w:rFonts w:asciiTheme="majorHAnsi" w:hAnsiTheme="majorHAnsi" w:cstheme="majorHAnsi"/>
        </w:rPr>
        <w:t>Fax: (0211) 91369 309</w:t>
      </w:r>
    </w:p>
    <w:p w:rsidR="00723B6D" w:rsidRPr="00DC6AA3" w:rsidRDefault="00BD1E1E" w:rsidP="00B2146D">
      <w:pPr>
        <w:spacing w:line="276" w:lineRule="auto"/>
        <w:rPr>
          <w:rFonts w:asciiTheme="majorHAnsi" w:hAnsiTheme="majorHAnsi" w:cstheme="majorHAnsi"/>
        </w:rPr>
      </w:pPr>
      <w:r w:rsidRPr="00DC6AA3">
        <w:rPr>
          <w:rFonts w:asciiTheme="majorHAnsi" w:hAnsiTheme="majorHAnsi" w:cstheme="majorHAnsi"/>
        </w:rPr>
        <w:t xml:space="preserve">E-Mail: </w:t>
      </w:r>
      <w:hyperlink r:id="rId9" w:history="1">
        <w:r w:rsidRPr="00DC6AA3">
          <w:rPr>
            <w:rFonts w:asciiTheme="majorHAnsi" w:hAnsiTheme="majorHAnsi" w:cstheme="majorHAnsi"/>
          </w:rPr>
          <w:t>christian.poprawa@sg-weber.de</w:t>
        </w:r>
      </w:hyperlink>
      <w:r w:rsidRPr="00DC6AA3">
        <w:rPr>
          <w:rFonts w:asciiTheme="majorHAnsi" w:hAnsiTheme="majorHAnsi" w:cstheme="majorHAnsi"/>
        </w:rPr>
        <w:t xml:space="preserve"> </w:t>
      </w:r>
    </w:p>
    <w:p w:rsidR="00B2146D" w:rsidRPr="00DC6AA3" w:rsidRDefault="00B2146D" w:rsidP="00B2146D">
      <w:pPr>
        <w:rPr>
          <w:rFonts w:asciiTheme="majorHAnsi" w:hAnsiTheme="majorHAnsi" w:cstheme="majorHAnsi"/>
          <w:b/>
        </w:rPr>
      </w:pPr>
    </w:p>
    <w:p w:rsidR="00B81DAE" w:rsidRPr="00DC6AA3" w:rsidRDefault="00B81DAE" w:rsidP="00B81DAE">
      <w:pPr>
        <w:rPr>
          <w:rFonts w:asciiTheme="majorHAnsi" w:hAnsiTheme="majorHAnsi" w:cstheme="majorHAnsi"/>
          <w:b/>
        </w:rPr>
      </w:pPr>
    </w:p>
    <w:p w:rsidR="006C2E92" w:rsidRPr="00DC6AA3" w:rsidRDefault="006C2E92">
      <w:pPr>
        <w:spacing w:line="240" w:lineRule="auto"/>
        <w:rPr>
          <w:rFonts w:asciiTheme="majorHAnsi" w:hAnsiTheme="majorHAnsi" w:cstheme="majorHAnsi"/>
          <w:b/>
        </w:rPr>
      </w:pPr>
      <w:r w:rsidRPr="00DC6AA3">
        <w:rPr>
          <w:rFonts w:asciiTheme="majorHAnsi" w:hAnsiTheme="majorHAnsi" w:cstheme="majorHAnsi"/>
          <w:b/>
        </w:rPr>
        <w:br w:type="page"/>
      </w:r>
    </w:p>
    <w:p w:rsidR="00B6056D" w:rsidRPr="00DC6AA3" w:rsidRDefault="00B81DAE" w:rsidP="00B2146D">
      <w:pPr>
        <w:rPr>
          <w:rFonts w:asciiTheme="majorHAnsi" w:hAnsiTheme="majorHAnsi" w:cstheme="majorHAnsi"/>
          <w:b/>
        </w:rPr>
      </w:pPr>
      <w:proofErr w:type="spellStart"/>
      <w:r w:rsidRPr="00DC6AA3">
        <w:rPr>
          <w:rFonts w:asciiTheme="majorHAnsi" w:hAnsiTheme="majorHAnsi" w:cstheme="majorHAnsi"/>
          <w:b/>
        </w:rPr>
        <w:lastRenderedPageBreak/>
        <w:t>Bildmaterial</w:t>
      </w:r>
      <w:proofErr w:type="spellEnd"/>
      <w:r w:rsidRPr="00DC6AA3">
        <w:rPr>
          <w:rFonts w:asciiTheme="majorHAnsi" w:hAnsiTheme="majorHAnsi" w:cstheme="majorHAnsi"/>
          <w:b/>
        </w:rPr>
        <w:t xml:space="preserve">: </w:t>
      </w:r>
    </w:p>
    <w:p w:rsidR="007A5658" w:rsidRDefault="007A5658" w:rsidP="007C7D29">
      <w:pPr>
        <w:jc w:val="both"/>
        <w:rPr>
          <w:noProof/>
          <w:lang w:eastAsia="de-DE" w:bidi="ar-SA"/>
        </w:rPr>
      </w:pPr>
    </w:p>
    <w:p w:rsidR="0023521A" w:rsidRPr="00DC6AA3" w:rsidRDefault="0023521A" w:rsidP="007C7D29">
      <w:pPr>
        <w:jc w:val="both"/>
        <w:rPr>
          <w:noProof/>
          <w:lang w:eastAsia="de-DE" w:bidi="ar-SA"/>
        </w:rPr>
      </w:pPr>
      <w:r>
        <w:rPr>
          <w:noProof/>
          <w:lang w:val="de-DE" w:eastAsia="de-DE" w:bidi="ar-SA"/>
        </w:rPr>
        <w:drawing>
          <wp:inline distT="0" distB="0" distL="0" distR="0" wp14:anchorId="5BE9A0CE" wp14:editId="0B754509">
            <wp:extent cx="2683450" cy="1895475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4739" cy="18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D2" w:rsidRDefault="006C2E92" w:rsidP="006C2E92">
      <w:pPr>
        <w:spacing w:line="336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Mit </w:t>
      </w:r>
      <w:proofErr w:type="spellStart"/>
      <w:r>
        <w:rPr>
          <w:rFonts w:asciiTheme="majorHAnsi" w:hAnsiTheme="majorHAnsi" w:cstheme="majorHAnsi"/>
          <w:lang w:val="de-DE"/>
        </w:rPr>
        <w:t>weber.prim</w:t>
      </w:r>
      <w:proofErr w:type="spellEnd"/>
      <w:r>
        <w:rPr>
          <w:rFonts w:asciiTheme="majorHAnsi" w:hAnsiTheme="majorHAnsi" w:cstheme="majorHAnsi"/>
          <w:lang w:val="de-DE"/>
        </w:rPr>
        <w:t xml:space="preserve"> 804 bietet Weber ab sofort eine Multifunktions-Grundierung mit eingebautem Feuchteschutz für kritische Untergründe. Foto: Saint-Gobain Weber</w:t>
      </w:r>
    </w:p>
    <w:p w:rsidR="00732C64" w:rsidRDefault="00732C64" w:rsidP="006C2E92">
      <w:pPr>
        <w:spacing w:line="336" w:lineRule="auto"/>
        <w:rPr>
          <w:rFonts w:asciiTheme="majorHAnsi" w:hAnsiTheme="majorHAnsi" w:cstheme="majorHAnsi"/>
          <w:lang w:val="de-DE"/>
        </w:rPr>
      </w:pPr>
    </w:p>
    <w:p w:rsidR="00732C64" w:rsidRDefault="00732C64" w:rsidP="006C2E92">
      <w:pPr>
        <w:spacing w:line="336" w:lineRule="auto"/>
        <w:rPr>
          <w:rFonts w:asciiTheme="majorHAnsi" w:hAnsiTheme="majorHAnsi" w:cstheme="majorHAnsi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512C9C64" wp14:editId="5A23F3F4">
            <wp:extent cx="2705100" cy="181269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714" cy="18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lang w:val="de-DE"/>
        </w:rPr>
        <w:t xml:space="preserve">  </w:t>
      </w:r>
      <w:r>
        <w:rPr>
          <w:noProof/>
          <w:lang w:val="de-DE" w:eastAsia="de-DE" w:bidi="ar-SA"/>
        </w:rPr>
        <w:drawing>
          <wp:inline distT="0" distB="0" distL="0" distR="0" wp14:anchorId="6F48CA3F" wp14:editId="52E4313F">
            <wp:extent cx="2721859" cy="180975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2728" cy="18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92" w:rsidRDefault="006C2E92" w:rsidP="006C2E92">
      <w:pPr>
        <w:spacing w:line="336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Die gebrauchsfertige 1-K-Grundierung eignet sich optimal für die Verlegung großformatiger Fliesen, insbesondere auf feuchtigkeitsempfindlichen</w:t>
      </w:r>
      <w:r w:rsidR="00732C64">
        <w:rPr>
          <w:rFonts w:asciiTheme="majorHAnsi" w:hAnsiTheme="majorHAnsi" w:cstheme="majorHAnsi"/>
          <w:lang w:val="de-DE"/>
        </w:rPr>
        <w:t xml:space="preserve"> Untergründen</w:t>
      </w:r>
      <w:r>
        <w:rPr>
          <w:rFonts w:asciiTheme="majorHAnsi" w:hAnsiTheme="majorHAnsi" w:cstheme="majorHAnsi"/>
          <w:lang w:val="de-DE"/>
        </w:rPr>
        <w:t>. Foto: Saint-Gobain Weber</w:t>
      </w:r>
    </w:p>
    <w:p w:rsidR="006C2E92" w:rsidRDefault="006C2E92" w:rsidP="006C2E92">
      <w:pPr>
        <w:spacing w:line="336" w:lineRule="auto"/>
        <w:rPr>
          <w:rFonts w:asciiTheme="majorHAnsi" w:hAnsiTheme="majorHAnsi" w:cstheme="majorHAnsi"/>
          <w:lang w:val="de-DE"/>
        </w:rPr>
      </w:pPr>
    </w:p>
    <w:p w:rsidR="00732C64" w:rsidRDefault="00732C64" w:rsidP="006C2E92">
      <w:pPr>
        <w:spacing w:line="336" w:lineRule="auto"/>
        <w:rPr>
          <w:rFonts w:asciiTheme="majorHAnsi" w:hAnsiTheme="majorHAnsi" w:cstheme="majorHAnsi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3786AA09" wp14:editId="12A96BE7">
            <wp:extent cx="2348019" cy="176188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243" cy="17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E92" w:rsidRDefault="006C2E92" w:rsidP="006C2E92">
      <w:pPr>
        <w:spacing w:line="336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Mit der praktischen Eimerkralle lassen sich Werkzeuge einfach und sauber </w:t>
      </w:r>
      <w:proofErr w:type="gramStart"/>
      <w:r>
        <w:rPr>
          <w:rFonts w:asciiTheme="majorHAnsi" w:hAnsiTheme="majorHAnsi" w:cstheme="majorHAnsi"/>
          <w:lang w:val="de-DE"/>
        </w:rPr>
        <w:t>am</w:t>
      </w:r>
      <w:proofErr w:type="gramEnd"/>
      <w:r>
        <w:rPr>
          <w:rFonts w:asciiTheme="majorHAnsi" w:hAnsiTheme="majorHAnsi" w:cstheme="majorHAnsi"/>
          <w:lang w:val="de-DE"/>
        </w:rPr>
        <w:t xml:space="preserve"> Gebinde fixieren. Foto: Saint-Gobain Weber</w:t>
      </w:r>
    </w:p>
    <w:p w:rsidR="006C2E92" w:rsidRPr="008249A9" w:rsidRDefault="006C2E92" w:rsidP="006C2E92">
      <w:pPr>
        <w:spacing w:line="336" w:lineRule="auto"/>
        <w:rPr>
          <w:rFonts w:asciiTheme="majorHAnsi" w:hAnsiTheme="majorHAnsi" w:cstheme="majorHAnsi"/>
          <w:lang w:val="de-DE"/>
        </w:rPr>
      </w:pPr>
    </w:p>
    <w:p w:rsidR="007C7D29" w:rsidRDefault="007C7D29">
      <w:pPr>
        <w:spacing w:line="240" w:lineRule="auto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7A5658" w:rsidRPr="00EC0E53" w:rsidRDefault="007A5658" w:rsidP="007A565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  <w:lang w:val="de-DE" w:eastAsia="de-DE"/>
        </w:rPr>
      </w:pPr>
      <w:r w:rsidRPr="00EC0E53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lastRenderedPageBreak/>
        <w:t>Über Saint-Gobain Weber</w:t>
      </w:r>
    </w:p>
    <w:p w:rsidR="009225DF" w:rsidRPr="00B6056D" w:rsidRDefault="009225DF" w:rsidP="009225DF">
      <w:pPr>
        <w:widowControl w:val="0"/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sz w:val="20"/>
          <w:szCs w:val="20"/>
          <w:lang w:val="de-DE" w:eastAsia="de-DE"/>
        </w:rPr>
      </w:pPr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>Die Saint-</w:t>
      </w:r>
      <w:proofErr w:type="spellStart"/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>Gobain</w:t>
      </w:r>
      <w:proofErr w:type="spellEnd"/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 xml:space="preserve"> Weber GmbH ist bundesweit einer der führenden Baustoffhersteller und bietet über 800 Premium-Lösungen in den </w:t>
      </w:r>
      <w:r>
        <w:rPr>
          <w:rFonts w:asciiTheme="majorHAnsi" w:hAnsiTheme="majorHAnsi" w:cstheme="majorHAnsi"/>
          <w:sz w:val="20"/>
          <w:szCs w:val="20"/>
          <w:lang w:val="de-DE" w:eastAsia="de-DE"/>
        </w:rPr>
        <w:t>Segmenten Putz- und Fassadensysteme</w:t>
      </w:r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de-DE" w:eastAsia="de-DE"/>
        </w:rPr>
        <w:t xml:space="preserve">Boden- und Fliesensysteme sowie </w:t>
      </w:r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>Bautenschutz</w:t>
      </w:r>
      <w:r>
        <w:rPr>
          <w:rFonts w:asciiTheme="majorHAnsi" w:hAnsiTheme="majorHAnsi" w:cstheme="majorHAnsi"/>
          <w:sz w:val="20"/>
          <w:szCs w:val="20"/>
          <w:lang w:val="de-DE" w:eastAsia="de-DE"/>
        </w:rPr>
        <w:t>- und Mörtelsysteme</w:t>
      </w:r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>. Die in der Branche einzigartige Bandbreite an Produkten, Systemen und Services macht das Unternehmen zum kompetenten Partner für ganzheitliche Bauplanung und -ausführung. In Deutschland produziert Weber an 1</w:t>
      </w:r>
      <w:r>
        <w:rPr>
          <w:rFonts w:asciiTheme="majorHAnsi" w:hAnsiTheme="majorHAnsi" w:cstheme="majorHAnsi"/>
          <w:sz w:val="20"/>
          <w:szCs w:val="20"/>
          <w:lang w:val="de-DE" w:eastAsia="de-DE"/>
        </w:rPr>
        <w:t>4</w:t>
      </w:r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 xml:space="preserve"> regionalen Standorten und kann damit schnell auf Kundenbedürfnisse reagieren. Daneben prägt insbesondere eine hohe Innovationskraft das Profil von Saint-</w:t>
      </w:r>
      <w:proofErr w:type="spellStart"/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>Gobain</w:t>
      </w:r>
      <w:proofErr w:type="spellEnd"/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 xml:space="preserve"> Weber. Der Fokus der vielfach ausgezeichneten Neuentwicklungen liegt  auf wohngesunden, umweltschonenden Baustoffen. Weber ist Teil der Saint-</w:t>
      </w:r>
      <w:proofErr w:type="spellStart"/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>Gobain</w:t>
      </w:r>
      <w:proofErr w:type="spellEnd"/>
      <w:r w:rsidRPr="00EC0E53">
        <w:rPr>
          <w:rFonts w:asciiTheme="majorHAnsi" w:hAnsiTheme="majorHAnsi" w:cstheme="majorHAnsi"/>
          <w:sz w:val="20"/>
          <w:szCs w:val="20"/>
          <w:lang w:val="de-DE" w:eastAsia="de-DE"/>
        </w:rPr>
        <w:t>-Gruppe, dem weltweit führenden Anbieter auf den Märkten des Wohnens und Arbeitens.</w:t>
      </w:r>
    </w:p>
    <w:p w:rsidR="007A5658" w:rsidRPr="00B6056D" w:rsidRDefault="007A5658" w:rsidP="00B6056D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  <w:lang w:val="de-DE" w:eastAsia="de-DE"/>
        </w:rPr>
      </w:pPr>
    </w:p>
    <w:sectPr w:rsidR="007A5658" w:rsidRPr="00B6056D" w:rsidSect="00B75E53">
      <w:footerReference w:type="even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EE9" w:rsidRDefault="00E74EE9" w:rsidP="002D4B52">
      <w:pPr>
        <w:spacing w:line="240" w:lineRule="auto"/>
      </w:pPr>
      <w:r>
        <w:separator/>
      </w:r>
    </w:p>
  </w:endnote>
  <w:endnote w:type="continuationSeparator" w:id="0">
    <w:p w:rsidR="00E74EE9" w:rsidRDefault="00E74EE9" w:rsidP="002D4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 Sans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F01" w:rsidRDefault="00115F01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15F01" w:rsidRDefault="00115F01" w:rsidP="00CA6D5D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F01" w:rsidRDefault="00115F01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32C64">
      <w:rPr>
        <w:rStyle w:val="Seitenzahl"/>
        <w:noProof/>
      </w:rPr>
      <w:t>2</w:t>
    </w:r>
    <w:r>
      <w:rPr>
        <w:rStyle w:val="Seitenzahl"/>
      </w:rPr>
      <w:fldChar w:fldCharType="end"/>
    </w:r>
  </w:p>
  <w:p w:rsidR="00115F01" w:rsidRDefault="00115F01" w:rsidP="00CA6D5D">
    <w:pPr>
      <w:pStyle w:val="Fuzeile"/>
      <w:ind w:right="360" w:firstLine="360"/>
      <w:jc w:val="right"/>
    </w:pPr>
  </w:p>
  <w:p w:rsidR="00115F01" w:rsidRDefault="00115F0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EE9" w:rsidRDefault="00E74EE9" w:rsidP="002D4B52">
      <w:pPr>
        <w:spacing w:line="240" w:lineRule="auto"/>
      </w:pPr>
      <w:r>
        <w:separator/>
      </w:r>
    </w:p>
  </w:footnote>
  <w:footnote w:type="continuationSeparator" w:id="0">
    <w:p w:rsidR="00E74EE9" w:rsidRDefault="00E74EE9" w:rsidP="002D4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pt;height:48.75pt" o:bullet="t">
        <v:imagedata r:id="rId1" o:title="artDC71"/>
      </v:shape>
    </w:pict>
  </w:numPicBullet>
  <w:numPicBullet w:numPicBulletId="1">
    <w:pict>
      <v:shape id="_x0000_i1027" type="#_x0000_t75" style="width:150pt;height:135.75pt" o:bullet="t">
        <v:imagedata r:id="rId2" o:title="artDCD2"/>
      </v:shape>
    </w:pict>
  </w:numPicBullet>
  <w:numPicBullet w:numPicBulletId="2">
    <w:pict>
      <v:shape id="_x0000_i1028" type="#_x0000_t75" style="width:54.75pt;height:53.25pt" o:bullet="t">
        <v:imagedata r:id="rId3" o:title="art1C91"/>
      </v:shape>
    </w:pict>
  </w:numPicBullet>
  <w:abstractNum w:abstractNumId="0">
    <w:nsid w:val="FFFFFF1D"/>
    <w:multiLevelType w:val="multilevel"/>
    <w:tmpl w:val="E3D889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E60C0"/>
    <w:multiLevelType w:val="hybridMultilevel"/>
    <w:tmpl w:val="63066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04F4E"/>
    <w:multiLevelType w:val="hybridMultilevel"/>
    <w:tmpl w:val="30A23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92F"/>
    <w:multiLevelType w:val="hybridMultilevel"/>
    <w:tmpl w:val="87C88074"/>
    <w:lvl w:ilvl="0" w:tplc="714266A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027C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02A3B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8A3C4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8C414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8F74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D6DAD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431C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A4575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56921D7"/>
    <w:multiLevelType w:val="hybridMultilevel"/>
    <w:tmpl w:val="809C66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06CA9"/>
    <w:multiLevelType w:val="hybridMultilevel"/>
    <w:tmpl w:val="C75A7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5619E"/>
    <w:multiLevelType w:val="hybridMultilevel"/>
    <w:tmpl w:val="6B6CA13E"/>
    <w:lvl w:ilvl="0" w:tplc="3EE2F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78029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609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A899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078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A258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8248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ABD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A48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1CA0302"/>
    <w:multiLevelType w:val="hybridMultilevel"/>
    <w:tmpl w:val="0BE6D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C0413"/>
    <w:multiLevelType w:val="hybridMultilevel"/>
    <w:tmpl w:val="04325F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643EF"/>
    <w:multiLevelType w:val="hybridMultilevel"/>
    <w:tmpl w:val="2BF6D8A6"/>
    <w:lvl w:ilvl="0" w:tplc="352059E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A31E4"/>
    <w:multiLevelType w:val="hybridMultilevel"/>
    <w:tmpl w:val="4B126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B1427E"/>
    <w:multiLevelType w:val="hybridMultilevel"/>
    <w:tmpl w:val="333AB4E0"/>
    <w:lvl w:ilvl="0" w:tplc="AC9675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1EF8F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1CF95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4AC25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5E046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E38B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29E1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9AEF2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C6FEB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FCD5E7E"/>
    <w:multiLevelType w:val="hybridMultilevel"/>
    <w:tmpl w:val="C2802530"/>
    <w:lvl w:ilvl="0" w:tplc="26B2E9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6AB8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4FC1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40EE2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A6A8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40CC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16E8C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8073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84077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0264146"/>
    <w:multiLevelType w:val="hybridMultilevel"/>
    <w:tmpl w:val="B7CA6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BD7693"/>
    <w:multiLevelType w:val="hybridMultilevel"/>
    <w:tmpl w:val="513240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F456F"/>
    <w:multiLevelType w:val="hybridMultilevel"/>
    <w:tmpl w:val="00D8D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E10ACC"/>
    <w:multiLevelType w:val="hybridMultilevel"/>
    <w:tmpl w:val="D64223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C206EF"/>
    <w:multiLevelType w:val="hybridMultilevel"/>
    <w:tmpl w:val="2FBA5E4C"/>
    <w:lvl w:ilvl="0" w:tplc="9D46FC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C45502"/>
    <w:multiLevelType w:val="hybridMultilevel"/>
    <w:tmpl w:val="E6F6037C"/>
    <w:lvl w:ilvl="0" w:tplc="F1A610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6FF86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64041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2F01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B55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1A93F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E38F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44862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52C04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72E1E50"/>
    <w:multiLevelType w:val="hybridMultilevel"/>
    <w:tmpl w:val="57884D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AF3DF0"/>
    <w:multiLevelType w:val="hybridMultilevel"/>
    <w:tmpl w:val="9FCA8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17E29"/>
    <w:multiLevelType w:val="hybridMultilevel"/>
    <w:tmpl w:val="57DC1326"/>
    <w:lvl w:ilvl="0" w:tplc="EB12A6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0930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347D9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2AB0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C2BA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0147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20041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E65F5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64DED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8AF27BB"/>
    <w:multiLevelType w:val="hybridMultilevel"/>
    <w:tmpl w:val="53E62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AA0CCA"/>
    <w:multiLevelType w:val="hybridMultilevel"/>
    <w:tmpl w:val="821A9324"/>
    <w:lvl w:ilvl="0" w:tplc="4372DD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7F86">
      <w:start w:val="148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0686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22F56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E17C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8C853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6E97D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8F58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08D8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CC14190"/>
    <w:multiLevelType w:val="hybridMultilevel"/>
    <w:tmpl w:val="E0247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904E3"/>
    <w:multiLevelType w:val="hybridMultilevel"/>
    <w:tmpl w:val="177C6804"/>
    <w:lvl w:ilvl="0" w:tplc="B6F44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21"/>
  </w:num>
  <w:num w:numId="5">
    <w:abstractNumId w:val="11"/>
  </w:num>
  <w:num w:numId="6">
    <w:abstractNumId w:val="18"/>
  </w:num>
  <w:num w:numId="7">
    <w:abstractNumId w:val="23"/>
  </w:num>
  <w:num w:numId="8">
    <w:abstractNumId w:val="6"/>
  </w:num>
  <w:num w:numId="9">
    <w:abstractNumId w:val="15"/>
  </w:num>
  <w:num w:numId="10">
    <w:abstractNumId w:val="2"/>
  </w:num>
  <w:num w:numId="11">
    <w:abstractNumId w:val="17"/>
  </w:num>
  <w:num w:numId="12">
    <w:abstractNumId w:val="25"/>
  </w:num>
  <w:num w:numId="13">
    <w:abstractNumId w:val="5"/>
  </w:num>
  <w:num w:numId="14">
    <w:abstractNumId w:val="22"/>
  </w:num>
  <w:num w:numId="15">
    <w:abstractNumId w:val="20"/>
  </w:num>
  <w:num w:numId="16">
    <w:abstractNumId w:val="19"/>
  </w:num>
  <w:num w:numId="17">
    <w:abstractNumId w:val="1"/>
  </w:num>
  <w:num w:numId="18">
    <w:abstractNumId w:val="10"/>
  </w:num>
  <w:num w:numId="19">
    <w:abstractNumId w:val="9"/>
  </w:num>
  <w:num w:numId="20">
    <w:abstractNumId w:val="8"/>
  </w:num>
  <w:num w:numId="21">
    <w:abstractNumId w:val="24"/>
  </w:num>
  <w:num w:numId="22">
    <w:abstractNumId w:val="7"/>
  </w:num>
  <w:num w:numId="23">
    <w:abstractNumId w:val="14"/>
  </w:num>
  <w:num w:numId="24">
    <w:abstractNumId w:val="16"/>
  </w:num>
  <w:num w:numId="25">
    <w:abstractNumId w:val="13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8B"/>
    <w:rsid w:val="0000340A"/>
    <w:rsid w:val="0001318B"/>
    <w:rsid w:val="00017EEE"/>
    <w:rsid w:val="00021717"/>
    <w:rsid w:val="00021D3F"/>
    <w:rsid w:val="000252E9"/>
    <w:rsid w:val="00033AB1"/>
    <w:rsid w:val="00040BE7"/>
    <w:rsid w:val="00044716"/>
    <w:rsid w:val="00047AD6"/>
    <w:rsid w:val="000502B4"/>
    <w:rsid w:val="00081F36"/>
    <w:rsid w:val="00084A89"/>
    <w:rsid w:val="00085111"/>
    <w:rsid w:val="00087F25"/>
    <w:rsid w:val="000925A7"/>
    <w:rsid w:val="000A2772"/>
    <w:rsid w:val="000A27F1"/>
    <w:rsid w:val="000A5238"/>
    <w:rsid w:val="000B31A7"/>
    <w:rsid w:val="000B6C79"/>
    <w:rsid w:val="000E044E"/>
    <w:rsid w:val="000F5A90"/>
    <w:rsid w:val="00100C9A"/>
    <w:rsid w:val="00101A6D"/>
    <w:rsid w:val="001059CC"/>
    <w:rsid w:val="00107CEE"/>
    <w:rsid w:val="0011287B"/>
    <w:rsid w:val="00113DC0"/>
    <w:rsid w:val="00115F01"/>
    <w:rsid w:val="00116368"/>
    <w:rsid w:val="00117585"/>
    <w:rsid w:val="00120D79"/>
    <w:rsid w:val="001217AE"/>
    <w:rsid w:val="00130B86"/>
    <w:rsid w:val="00133B1A"/>
    <w:rsid w:val="001407F9"/>
    <w:rsid w:val="001660F3"/>
    <w:rsid w:val="00181BDB"/>
    <w:rsid w:val="00185A2D"/>
    <w:rsid w:val="001A0DCA"/>
    <w:rsid w:val="001A3524"/>
    <w:rsid w:val="001A4215"/>
    <w:rsid w:val="001A4870"/>
    <w:rsid w:val="001B5CD2"/>
    <w:rsid w:val="001E4B2F"/>
    <w:rsid w:val="001F4EC7"/>
    <w:rsid w:val="001F54E8"/>
    <w:rsid w:val="001F60D9"/>
    <w:rsid w:val="00211D6F"/>
    <w:rsid w:val="00225071"/>
    <w:rsid w:val="00225093"/>
    <w:rsid w:val="0022535D"/>
    <w:rsid w:val="0023521A"/>
    <w:rsid w:val="00235E64"/>
    <w:rsid w:val="0025161B"/>
    <w:rsid w:val="002560AC"/>
    <w:rsid w:val="002607A4"/>
    <w:rsid w:val="0026091B"/>
    <w:rsid w:val="002611B4"/>
    <w:rsid w:val="00261F81"/>
    <w:rsid w:val="002644CD"/>
    <w:rsid w:val="0027637E"/>
    <w:rsid w:val="00287349"/>
    <w:rsid w:val="00296288"/>
    <w:rsid w:val="00297791"/>
    <w:rsid w:val="002A12F6"/>
    <w:rsid w:val="002B0B37"/>
    <w:rsid w:val="002B185F"/>
    <w:rsid w:val="002B231E"/>
    <w:rsid w:val="002B2D40"/>
    <w:rsid w:val="002B4EF3"/>
    <w:rsid w:val="002B70AC"/>
    <w:rsid w:val="002D199C"/>
    <w:rsid w:val="002D4B52"/>
    <w:rsid w:val="002D4C27"/>
    <w:rsid w:val="002E589A"/>
    <w:rsid w:val="002F5280"/>
    <w:rsid w:val="00306B4B"/>
    <w:rsid w:val="00313FBB"/>
    <w:rsid w:val="0031706A"/>
    <w:rsid w:val="003305C8"/>
    <w:rsid w:val="003328E5"/>
    <w:rsid w:val="00333E43"/>
    <w:rsid w:val="00335B56"/>
    <w:rsid w:val="0034168A"/>
    <w:rsid w:val="0034190C"/>
    <w:rsid w:val="00347C2D"/>
    <w:rsid w:val="003510F0"/>
    <w:rsid w:val="00354191"/>
    <w:rsid w:val="00361B60"/>
    <w:rsid w:val="00362EBE"/>
    <w:rsid w:val="003640EC"/>
    <w:rsid w:val="003648F1"/>
    <w:rsid w:val="00371136"/>
    <w:rsid w:val="003717C4"/>
    <w:rsid w:val="0037618A"/>
    <w:rsid w:val="00380DF0"/>
    <w:rsid w:val="00385F4E"/>
    <w:rsid w:val="003A3851"/>
    <w:rsid w:val="003A3BA8"/>
    <w:rsid w:val="003B6909"/>
    <w:rsid w:val="003C171D"/>
    <w:rsid w:val="003C1881"/>
    <w:rsid w:val="00403D23"/>
    <w:rsid w:val="00403EFE"/>
    <w:rsid w:val="00403F89"/>
    <w:rsid w:val="004066C0"/>
    <w:rsid w:val="00406D61"/>
    <w:rsid w:val="0041058E"/>
    <w:rsid w:val="00411A6E"/>
    <w:rsid w:val="00413862"/>
    <w:rsid w:val="00415892"/>
    <w:rsid w:val="00416212"/>
    <w:rsid w:val="00416FBF"/>
    <w:rsid w:val="004410A5"/>
    <w:rsid w:val="004448C0"/>
    <w:rsid w:val="004455E1"/>
    <w:rsid w:val="00456451"/>
    <w:rsid w:val="004624CE"/>
    <w:rsid w:val="00463EA6"/>
    <w:rsid w:val="00466165"/>
    <w:rsid w:val="0048540F"/>
    <w:rsid w:val="004A3ACD"/>
    <w:rsid w:val="004C0D14"/>
    <w:rsid w:val="004C5975"/>
    <w:rsid w:val="004C74F6"/>
    <w:rsid w:val="004D544F"/>
    <w:rsid w:val="004D6F6C"/>
    <w:rsid w:val="004E4DDD"/>
    <w:rsid w:val="004F3BA3"/>
    <w:rsid w:val="004F6393"/>
    <w:rsid w:val="00513050"/>
    <w:rsid w:val="005167F1"/>
    <w:rsid w:val="00516C8B"/>
    <w:rsid w:val="00522EA7"/>
    <w:rsid w:val="005413CD"/>
    <w:rsid w:val="00544C62"/>
    <w:rsid w:val="00552147"/>
    <w:rsid w:val="00564C5E"/>
    <w:rsid w:val="005713FC"/>
    <w:rsid w:val="00574F0F"/>
    <w:rsid w:val="00582737"/>
    <w:rsid w:val="00582B4A"/>
    <w:rsid w:val="00584BDC"/>
    <w:rsid w:val="00587CCF"/>
    <w:rsid w:val="005A4210"/>
    <w:rsid w:val="005A6B68"/>
    <w:rsid w:val="005A7969"/>
    <w:rsid w:val="005B6248"/>
    <w:rsid w:val="005D4C82"/>
    <w:rsid w:val="005E2420"/>
    <w:rsid w:val="005E4949"/>
    <w:rsid w:val="005F1364"/>
    <w:rsid w:val="005F1AA5"/>
    <w:rsid w:val="005F5E74"/>
    <w:rsid w:val="005F7209"/>
    <w:rsid w:val="00601811"/>
    <w:rsid w:val="0061482E"/>
    <w:rsid w:val="00630CC0"/>
    <w:rsid w:val="00634465"/>
    <w:rsid w:val="00635DD6"/>
    <w:rsid w:val="00636412"/>
    <w:rsid w:val="00637576"/>
    <w:rsid w:val="00641007"/>
    <w:rsid w:val="00645064"/>
    <w:rsid w:val="00645503"/>
    <w:rsid w:val="006466F7"/>
    <w:rsid w:val="00653F28"/>
    <w:rsid w:val="006612CA"/>
    <w:rsid w:val="00667063"/>
    <w:rsid w:val="0067505B"/>
    <w:rsid w:val="00675C34"/>
    <w:rsid w:val="00680811"/>
    <w:rsid w:val="00693AB0"/>
    <w:rsid w:val="006967B7"/>
    <w:rsid w:val="006A4943"/>
    <w:rsid w:val="006B1137"/>
    <w:rsid w:val="006C2E92"/>
    <w:rsid w:val="006C48D0"/>
    <w:rsid w:val="006C4F83"/>
    <w:rsid w:val="006D69FD"/>
    <w:rsid w:val="006F4ADC"/>
    <w:rsid w:val="006F763F"/>
    <w:rsid w:val="00701C06"/>
    <w:rsid w:val="0070275A"/>
    <w:rsid w:val="0070710E"/>
    <w:rsid w:val="00716C74"/>
    <w:rsid w:val="007226DF"/>
    <w:rsid w:val="00723B6D"/>
    <w:rsid w:val="00732C64"/>
    <w:rsid w:val="007476DB"/>
    <w:rsid w:val="007500B9"/>
    <w:rsid w:val="00751CAA"/>
    <w:rsid w:val="00753560"/>
    <w:rsid w:val="007564A4"/>
    <w:rsid w:val="00765A59"/>
    <w:rsid w:val="00767C6C"/>
    <w:rsid w:val="0077796E"/>
    <w:rsid w:val="007876FC"/>
    <w:rsid w:val="00794560"/>
    <w:rsid w:val="007A2A07"/>
    <w:rsid w:val="007A5658"/>
    <w:rsid w:val="007C2371"/>
    <w:rsid w:val="007C5AD4"/>
    <w:rsid w:val="007C7D29"/>
    <w:rsid w:val="007F488C"/>
    <w:rsid w:val="007F76E7"/>
    <w:rsid w:val="00802CD2"/>
    <w:rsid w:val="00817042"/>
    <w:rsid w:val="00820B2B"/>
    <w:rsid w:val="008249A9"/>
    <w:rsid w:val="0083088A"/>
    <w:rsid w:val="00847BAC"/>
    <w:rsid w:val="0085114C"/>
    <w:rsid w:val="008532CE"/>
    <w:rsid w:val="0085561F"/>
    <w:rsid w:val="00864834"/>
    <w:rsid w:val="00865499"/>
    <w:rsid w:val="00875634"/>
    <w:rsid w:val="008773A1"/>
    <w:rsid w:val="00886AEA"/>
    <w:rsid w:val="008950E1"/>
    <w:rsid w:val="008978F2"/>
    <w:rsid w:val="008A15ED"/>
    <w:rsid w:val="008A19FF"/>
    <w:rsid w:val="008A5778"/>
    <w:rsid w:val="008B2DEF"/>
    <w:rsid w:val="008B2E38"/>
    <w:rsid w:val="008F3AC1"/>
    <w:rsid w:val="008F6BFC"/>
    <w:rsid w:val="00903830"/>
    <w:rsid w:val="00912598"/>
    <w:rsid w:val="00916E2B"/>
    <w:rsid w:val="009225DF"/>
    <w:rsid w:val="0093232B"/>
    <w:rsid w:val="00933C5B"/>
    <w:rsid w:val="009376C1"/>
    <w:rsid w:val="00944942"/>
    <w:rsid w:val="0094531B"/>
    <w:rsid w:val="00953327"/>
    <w:rsid w:val="0095592A"/>
    <w:rsid w:val="009609F5"/>
    <w:rsid w:val="00966791"/>
    <w:rsid w:val="009731E8"/>
    <w:rsid w:val="00975D94"/>
    <w:rsid w:val="00980DB0"/>
    <w:rsid w:val="00984BEB"/>
    <w:rsid w:val="009940A5"/>
    <w:rsid w:val="009946E4"/>
    <w:rsid w:val="009A5B94"/>
    <w:rsid w:val="009A6833"/>
    <w:rsid w:val="009A6F81"/>
    <w:rsid w:val="009C081E"/>
    <w:rsid w:val="009C0D26"/>
    <w:rsid w:val="009C28D5"/>
    <w:rsid w:val="009C4338"/>
    <w:rsid w:val="009C5688"/>
    <w:rsid w:val="009D27EC"/>
    <w:rsid w:val="009D37B3"/>
    <w:rsid w:val="009D4B15"/>
    <w:rsid w:val="009D7270"/>
    <w:rsid w:val="009F2787"/>
    <w:rsid w:val="00A04BF6"/>
    <w:rsid w:val="00A11999"/>
    <w:rsid w:val="00A15CA0"/>
    <w:rsid w:val="00A249BE"/>
    <w:rsid w:val="00A263F3"/>
    <w:rsid w:val="00A330FD"/>
    <w:rsid w:val="00A44659"/>
    <w:rsid w:val="00A44BB9"/>
    <w:rsid w:val="00A44F11"/>
    <w:rsid w:val="00A4573B"/>
    <w:rsid w:val="00A513D6"/>
    <w:rsid w:val="00A65EB5"/>
    <w:rsid w:val="00A72CB2"/>
    <w:rsid w:val="00A8052D"/>
    <w:rsid w:val="00A83BE8"/>
    <w:rsid w:val="00A91C13"/>
    <w:rsid w:val="00AC1AF2"/>
    <w:rsid w:val="00AC1CF1"/>
    <w:rsid w:val="00AC3AB7"/>
    <w:rsid w:val="00AC6791"/>
    <w:rsid w:val="00AE06B3"/>
    <w:rsid w:val="00AF0BFB"/>
    <w:rsid w:val="00AF3EC1"/>
    <w:rsid w:val="00B11C02"/>
    <w:rsid w:val="00B2146D"/>
    <w:rsid w:val="00B21B52"/>
    <w:rsid w:val="00B24E3E"/>
    <w:rsid w:val="00B40304"/>
    <w:rsid w:val="00B42F3D"/>
    <w:rsid w:val="00B4593C"/>
    <w:rsid w:val="00B51006"/>
    <w:rsid w:val="00B53A71"/>
    <w:rsid w:val="00B6056D"/>
    <w:rsid w:val="00B656E7"/>
    <w:rsid w:val="00B676D3"/>
    <w:rsid w:val="00B7306D"/>
    <w:rsid w:val="00B75E53"/>
    <w:rsid w:val="00B80929"/>
    <w:rsid w:val="00B81DAE"/>
    <w:rsid w:val="00B85ACA"/>
    <w:rsid w:val="00B97BD9"/>
    <w:rsid w:val="00BA37B2"/>
    <w:rsid w:val="00BA495C"/>
    <w:rsid w:val="00BC1506"/>
    <w:rsid w:val="00BD1E1E"/>
    <w:rsid w:val="00BD2FA4"/>
    <w:rsid w:val="00BE6CBE"/>
    <w:rsid w:val="00C0216B"/>
    <w:rsid w:val="00C1621F"/>
    <w:rsid w:val="00C224C0"/>
    <w:rsid w:val="00C35102"/>
    <w:rsid w:val="00C35546"/>
    <w:rsid w:val="00C36BCB"/>
    <w:rsid w:val="00C435B9"/>
    <w:rsid w:val="00C43804"/>
    <w:rsid w:val="00C4486E"/>
    <w:rsid w:val="00C710C5"/>
    <w:rsid w:val="00C76AD3"/>
    <w:rsid w:val="00C85D23"/>
    <w:rsid w:val="00C9685F"/>
    <w:rsid w:val="00CA6D5D"/>
    <w:rsid w:val="00CC031E"/>
    <w:rsid w:val="00CC3CAF"/>
    <w:rsid w:val="00CC52BC"/>
    <w:rsid w:val="00CD0D16"/>
    <w:rsid w:val="00CF64C5"/>
    <w:rsid w:val="00D1690C"/>
    <w:rsid w:val="00D32810"/>
    <w:rsid w:val="00D5189C"/>
    <w:rsid w:val="00D66067"/>
    <w:rsid w:val="00D85B1A"/>
    <w:rsid w:val="00D87056"/>
    <w:rsid w:val="00D94BF5"/>
    <w:rsid w:val="00D96E85"/>
    <w:rsid w:val="00DA7FAC"/>
    <w:rsid w:val="00DB6078"/>
    <w:rsid w:val="00DC6AA3"/>
    <w:rsid w:val="00DD215A"/>
    <w:rsid w:val="00DE0621"/>
    <w:rsid w:val="00DE5B3F"/>
    <w:rsid w:val="00DF0901"/>
    <w:rsid w:val="00DF7AAA"/>
    <w:rsid w:val="00E00603"/>
    <w:rsid w:val="00E12B0F"/>
    <w:rsid w:val="00E15223"/>
    <w:rsid w:val="00E26725"/>
    <w:rsid w:val="00E305DC"/>
    <w:rsid w:val="00E308AC"/>
    <w:rsid w:val="00E33911"/>
    <w:rsid w:val="00E37E1D"/>
    <w:rsid w:val="00E41BBB"/>
    <w:rsid w:val="00E44718"/>
    <w:rsid w:val="00E561E0"/>
    <w:rsid w:val="00E707BD"/>
    <w:rsid w:val="00E74EE9"/>
    <w:rsid w:val="00E77A37"/>
    <w:rsid w:val="00E80905"/>
    <w:rsid w:val="00E85495"/>
    <w:rsid w:val="00E856A6"/>
    <w:rsid w:val="00E924CA"/>
    <w:rsid w:val="00EA6639"/>
    <w:rsid w:val="00EA7A07"/>
    <w:rsid w:val="00EC0E53"/>
    <w:rsid w:val="00EC4FD9"/>
    <w:rsid w:val="00EE6434"/>
    <w:rsid w:val="00EF3D6A"/>
    <w:rsid w:val="00EF4789"/>
    <w:rsid w:val="00F065BB"/>
    <w:rsid w:val="00F13185"/>
    <w:rsid w:val="00F5550C"/>
    <w:rsid w:val="00F63B79"/>
    <w:rsid w:val="00F75D3F"/>
    <w:rsid w:val="00F7794B"/>
    <w:rsid w:val="00F8322B"/>
    <w:rsid w:val="00FB1875"/>
    <w:rsid w:val="00FB5589"/>
    <w:rsid w:val="00FC3AEA"/>
    <w:rsid w:val="00FC5133"/>
    <w:rsid w:val="00FC59AF"/>
    <w:rsid w:val="00FC5F8D"/>
    <w:rsid w:val="00FE6BF5"/>
    <w:rsid w:val="00FF6293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19A19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58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7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5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3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27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8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45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33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3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96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0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7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4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8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9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8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5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43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1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2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72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0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9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8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9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87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christian.poprawa@sg-weber.de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Saint-Gobain Weber startet offizielle Facebook-Seite</vt:lpstr>
    </vt:vector>
  </TitlesOfParts>
  <Company>SAINT-GOBAIN 1.6</Company>
  <LinksUpToDate>false</LinksUpToDate>
  <CharactersWithSpaces>4630</CharactersWithSpaces>
  <SharedDoc>false</SharedDoc>
  <HLinks>
    <vt:vector size="36" baseType="variant">
      <vt:variant>
        <vt:i4>1179710</vt:i4>
      </vt:variant>
      <vt:variant>
        <vt:i4>3</vt:i4>
      </vt:variant>
      <vt:variant>
        <vt:i4>0</vt:i4>
      </vt:variant>
      <vt:variant>
        <vt:i4>5</vt:i4>
      </vt:variant>
      <vt:variant>
        <vt:lpwstr>mailto:christian.poprawa@sg-weber.de</vt:lpwstr>
      </vt:variant>
      <vt:variant>
        <vt:lpwstr/>
      </vt:variant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http://www.sg-weber.de/844</vt:lpwstr>
      </vt:variant>
      <vt:variant>
        <vt:lpwstr/>
      </vt:variant>
      <vt:variant>
        <vt:i4>6750251</vt:i4>
      </vt:variant>
      <vt:variant>
        <vt:i4>2048</vt:i4>
      </vt:variant>
      <vt:variant>
        <vt:i4>1025</vt:i4>
      </vt:variant>
      <vt:variant>
        <vt:i4>1</vt:i4>
      </vt:variant>
      <vt:variant>
        <vt:lpwstr>logo WEBER</vt:lpwstr>
      </vt:variant>
      <vt:variant>
        <vt:lpwstr/>
      </vt:variant>
      <vt:variant>
        <vt:i4>2162759</vt:i4>
      </vt:variant>
      <vt:variant>
        <vt:i4>13650</vt:i4>
      </vt:variant>
      <vt:variant>
        <vt:i4>1028</vt:i4>
      </vt:variant>
      <vt:variant>
        <vt:i4>1</vt:i4>
      </vt:variant>
      <vt:variant>
        <vt:lpwstr>artDC71</vt:lpwstr>
      </vt:variant>
      <vt:variant>
        <vt:lpwstr/>
      </vt:variant>
      <vt:variant>
        <vt:i4>7471172</vt:i4>
      </vt:variant>
      <vt:variant>
        <vt:i4>13651</vt:i4>
      </vt:variant>
      <vt:variant>
        <vt:i4>1029</vt:i4>
      </vt:variant>
      <vt:variant>
        <vt:i4>1</vt:i4>
      </vt:variant>
      <vt:variant>
        <vt:lpwstr>artDCD2</vt:lpwstr>
      </vt:variant>
      <vt:variant>
        <vt:lpwstr/>
      </vt:variant>
      <vt:variant>
        <vt:i4>7995463</vt:i4>
      </vt:variant>
      <vt:variant>
        <vt:i4>13652</vt:i4>
      </vt:variant>
      <vt:variant>
        <vt:i4>1030</vt:i4>
      </vt:variant>
      <vt:variant>
        <vt:i4>1</vt:i4>
      </vt:variant>
      <vt:variant>
        <vt:lpwstr>art1C91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Saint-Gobain Weber startet offizielle Facebook-Seite</dc:title>
  <dc:creator>Dehlinger, Dorothea</dc:creator>
  <cp:lastModifiedBy>SAINT-GOBAIN</cp:lastModifiedBy>
  <cp:revision>3</cp:revision>
  <cp:lastPrinted>2018-04-18T08:48:00Z</cp:lastPrinted>
  <dcterms:created xsi:type="dcterms:W3CDTF">2018-04-18T08:47:00Z</dcterms:created>
  <dcterms:modified xsi:type="dcterms:W3CDTF">2018-04-18T11:56:00Z</dcterms:modified>
</cp:coreProperties>
</file>